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C37F83" w14:textId="6304D787" w:rsidR="00722EA7" w:rsidRDefault="00722EA7" w:rsidP="000614E7"/>
    <w:tbl>
      <w:tblPr>
        <w:tblW w:w="5735" w:type="pct"/>
        <w:tblInd w:w="-10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426"/>
        <w:gridCol w:w="1560"/>
        <w:gridCol w:w="2126"/>
        <w:gridCol w:w="1984"/>
        <w:gridCol w:w="4395"/>
        <w:gridCol w:w="1701"/>
        <w:gridCol w:w="3788"/>
        <w:gridCol w:w="14"/>
      </w:tblGrid>
      <w:tr w:rsidR="00F56999" w:rsidRPr="00F56999" w14:paraId="6167AF48" w14:textId="77777777" w:rsidTr="006D0E19">
        <w:tc>
          <w:tcPr>
            <w:tcW w:w="15994" w:type="dxa"/>
            <w:gridSpan w:val="8"/>
            <w:tcBorders>
              <w:top w:val="single" w:sz="24" w:space="0" w:color="auto"/>
              <w:left w:val="single" w:sz="24" w:space="0" w:color="auto"/>
              <w:right w:val="single" w:sz="24" w:space="0" w:color="auto"/>
            </w:tcBorders>
            <w:shd w:val="clear" w:color="auto" w:fill="000000"/>
          </w:tcPr>
          <w:p w14:paraId="4F52BC82" w14:textId="77777777" w:rsidR="00F56999" w:rsidRPr="00F56999" w:rsidRDefault="00F56999" w:rsidP="00F56999">
            <w:pPr>
              <w:tabs>
                <w:tab w:val="left" w:pos="2190"/>
              </w:tabs>
              <w:spacing w:before="120" w:line="240" w:lineRule="auto"/>
              <w:ind w:firstLine="0"/>
              <w:jc w:val="center"/>
              <w:rPr>
                <w:b/>
                <w:sz w:val="23"/>
                <w:szCs w:val="23"/>
              </w:rPr>
            </w:pPr>
            <w:r w:rsidRPr="00F56999">
              <w:rPr>
                <w:b/>
                <w:sz w:val="23"/>
                <w:szCs w:val="23"/>
              </w:rPr>
              <w:t>СПРАВКА</w:t>
            </w:r>
          </w:p>
          <w:p w14:paraId="3416953A" w14:textId="5972484B" w:rsidR="00F56999" w:rsidRPr="00F56999" w:rsidRDefault="00F56999" w:rsidP="00F56999">
            <w:pPr>
              <w:tabs>
                <w:tab w:val="left" w:pos="2190"/>
              </w:tabs>
              <w:spacing w:before="120" w:line="240" w:lineRule="auto"/>
              <w:ind w:firstLine="0"/>
              <w:jc w:val="center"/>
              <w:rPr>
                <w:b/>
                <w:sz w:val="23"/>
                <w:szCs w:val="23"/>
              </w:rPr>
            </w:pPr>
            <w:r w:rsidRPr="00F56999">
              <w:rPr>
                <w:b/>
                <w:sz w:val="23"/>
                <w:szCs w:val="23"/>
              </w:rPr>
              <w:t xml:space="preserve">ЗА ОТРАЗЯВАНЕ НА ПОСТЪПИЛИТЕ ПРЕДЛОЖЕНИЯ И СТАНОВИЩА ОТ ОБЩЕСТВЕНИТЕ КОНСУЛТАЦИИ ПО </w:t>
            </w:r>
            <w:r w:rsidR="00714F55" w:rsidRPr="00714F55">
              <w:rPr>
                <w:b/>
                <w:sz w:val="23"/>
                <w:szCs w:val="23"/>
              </w:rPr>
              <w:t>ПРОЕКТ НА ПОСТАНОВЛЕНИЕ НА МИНИСТЕРСКИЯ СЪВЕТ ЗА ИЗМЕНЕНИЕ И ДОПЪЛНЕНИЕ НА НОРМАТИВНИ АКТОВЕ НА МИНИСТЕРСКИ СЪВЕТ</w:t>
            </w:r>
          </w:p>
        </w:tc>
      </w:tr>
      <w:tr w:rsidR="00F56999" w:rsidRPr="00F56999" w14:paraId="3DB59DC1" w14:textId="77777777" w:rsidTr="00B04490">
        <w:trPr>
          <w:gridAfter w:val="1"/>
          <w:wAfter w:w="14" w:type="dxa"/>
        </w:trPr>
        <w:tc>
          <w:tcPr>
            <w:tcW w:w="426" w:type="dxa"/>
            <w:tcBorders>
              <w:top w:val="single" w:sz="18" w:space="0" w:color="auto"/>
              <w:left w:val="single" w:sz="24" w:space="0" w:color="auto"/>
              <w:bottom w:val="single" w:sz="24" w:space="0" w:color="auto"/>
              <w:right w:val="single" w:sz="18" w:space="0" w:color="auto"/>
            </w:tcBorders>
            <w:shd w:val="clear" w:color="auto" w:fill="BFBFBF"/>
            <w:vAlign w:val="center"/>
          </w:tcPr>
          <w:p w14:paraId="61BC357F" w14:textId="77777777" w:rsidR="00F56999" w:rsidRPr="00F56999" w:rsidRDefault="00F56999" w:rsidP="0032403B">
            <w:pPr>
              <w:tabs>
                <w:tab w:val="left" w:pos="795"/>
                <w:tab w:val="left" w:pos="1230"/>
              </w:tabs>
              <w:spacing w:line="240" w:lineRule="auto"/>
              <w:ind w:firstLine="0"/>
              <w:jc w:val="center"/>
              <w:rPr>
                <w:b/>
                <w:sz w:val="20"/>
                <w:szCs w:val="20"/>
              </w:rPr>
            </w:pPr>
            <w:r w:rsidRPr="00F56999">
              <w:rPr>
                <w:b/>
                <w:sz w:val="20"/>
                <w:szCs w:val="20"/>
              </w:rPr>
              <w:t>№</w:t>
            </w:r>
          </w:p>
        </w:tc>
        <w:tc>
          <w:tcPr>
            <w:tcW w:w="1560" w:type="dxa"/>
            <w:tcBorders>
              <w:left w:val="single" w:sz="18" w:space="0" w:color="auto"/>
              <w:bottom w:val="single" w:sz="24" w:space="0" w:color="auto"/>
            </w:tcBorders>
            <w:shd w:val="clear" w:color="auto" w:fill="BFBFBF"/>
            <w:vAlign w:val="center"/>
          </w:tcPr>
          <w:p w14:paraId="0C5D28E6" w14:textId="77777777" w:rsidR="00F56999" w:rsidRPr="00F56999" w:rsidRDefault="00F56999" w:rsidP="008D0116">
            <w:pPr>
              <w:tabs>
                <w:tab w:val="left" w:pos="1020"/>
                <w:tab w:val="left" w:pos="1230"/>
              </w:tabs>
              <w:spacing w:before="120" w:line="240" w:lineRule="auto"/>
              <w:ind w:firstLine="0"/>
              <w:jc w:val="center"/>
              <w:rPr>
                <w:b/>
                <w:sz w:val="20"/>
                <w:szCs w:val="20"/>
              </w:rPr>
            </w:pPr>
            <w:r w:rsidRPr="00F56999">
              <w:rPr>
                <w:b/>
                <w:sz w:val="20"/>
                <w:szCs w:val="20"/>
              </w:rPr>
              <w:t>Дата и начин на постъпване на становището</w:t>
            </w:r>
          </w:p>
          <w:p w14:paraId="6CF6B846" w14:textId="77777777" w:rsidR="00F56999" w:rsidRPr="00F56999" w:rsidRDefault="00F56999" w:rsidP="0032403B">
            <w:pPr>
              <w:tabs>
                <w:tab w:val="left" w:pos="1020"/>
                <w:tab w:val="left" w:pos="1230"/>
              </w:tabs>
              <w:spacing w:line="240" w:lineRule="auto"/>
              <w:ind w:firstLine="0"/>
              <w:jc w:val="center"/>
              <w:rPr>
                <w:bCs/>
                <w:sz w:val="20"/>
                <w:szCs w:val="20"/>
              </w:rPr>
            </w:pPr>
            <w:r w:rsidRPr="00F56999">
              <w:rPr>
                <w:bCs/>
                <w:sz w:val="20"/>
                <w:szCs w:val="20"/>
              </w:rPr>
              <w:t>(официално, по ел. поща, чрез Портала за обществени консултации и т.н.)</w:t>
            </w:r>
          </w:p>
        </w:tc>
        <w:tc>
          <w:tcPr>
            <w:tcW w:w="2126" w:type="dxa"/>
            <w:tcBorders>
              <w:bottom w:val="single" w:sz="24" w:space="0" w:color="auto"/>
            </w:tcBorders>
            <w:shd w:val="clear" w:color="auto" w:fill="BFBFBF"/>
            <w:vAlign w:val="center"/>
          </w:tcPr>
          <w:p w14:paraId="50084286" w14:textId="77777777" w:rsidR="00F56999" w:rsidRPr="00F56999" w:rsidRDefault="00F56999" w:rsidP="0032403B">
            <w:pPr>
              <w:tabs>
                <w:tab w:val="left" w:pos="1020"/>
                <w:tab w:val="left" w:pos="1230"/>
              </w:tabs>
              <w:spacing w:line="240" w:lineRule="auto"/>
              <w:ind w:firstLine="0"/>
              <w:jc w:val="center"/>
              <w:rPr>
                <w:b/>
                <w:sz w:val="20"/>
                <w:szCs w:val="20"/>
              </w:rPr>
            </w:pPr>
            <w:r w:rsidRPr="00F56999">
              <w:rPr>
                <w:b/>
                <w:sz w:val="20"/>
                <w:szCs w:val="20"/>
              </w:rPr>
              <w:t>Име на лице/наименование ЮЛ</w:t>
            </w:r>
          </w:p>
        </w:tc>
        <w:tc>
          <w:tcPr>
            <w:tcW w:w="1984" w:type="dxa"/>
            <w:tcBorders>
              <w:bottom w:val="single" w:sz="24" w:space="0" w:color="auto"/>
            </w:tcBorders>
            <w:shd w:val="clear" w:color="auto" w:fill="BFBFBF"/>
            <w:vAlign w:val="center"/>
          </w:tcPr>
          <w:p w14:paraId="67ECFA80" w14:textId="77777777" w:rsidR="00F56999" w:rsidRPr="00F56999" w:rsidRDefault="00F56999" w:rsidP="0032403B">
            <w:pPr>
              <w:tabs>
                <w:tab w:val="left" w:pos="1020"/>
                <w:tab w:val="left" w:pos="1230"/>
              </w:tabs>
              <w:spacing w:line="240" w:lineRule="auto"/>
              <w:ind w:firstLine="0"/>
              <w:jc w:val="center"/>
              <w:rPr>
                <w:b/>
                <w:sz w:val="20"/>
                <w:szCs w:val="20"/>
              </w:rPr>
            </w:pPr>
            <w:r w:rsidRPr="00F56999">
              <w:rPr>
                <w:b/>
                <w:sz w:val="20"/>
                <w:szCs w:val="20"/>
              </w:rPr>
              <w:t>Декларирани данни дали лицето действа от свое име или защитава позиция от името на друго лице/група лица</w:t>
            </w:r>
          </w:p>
        </w:tc>
        <w:tc>
          <w:tcPr>
            <w:tcW w:w="4395" w:type="dxa"/>
            <w:tcBorders>
              <w:bottom w:val="single" w:sz="24" w:space="0" w:color="auto"/>
            </w:tcBorders>
            <w:shd w:val="clear" w:color="auto" w:fill="BFBFBF"/>
            <w:vAlign w:val="center"/>
          </w:tcPr>
          <w:p w14:paraId="0952E8F4" w14:textId="77777777" w:rsidR="00F56999" w:rsidRPr="00F56999" w:rsidRDefault="00F56999" w:rsidP="0032403B">
            <w:pPr>
              <w:tabs>
                <w:tab w:val="left" w:pos="1020"/>
                <w:tab w:val="left" w:pos="1230"/>
              </w:tabs>
              <w:spacing w:line="240" w:lineRule="auto"/>
              <w:ind w:firstLine="0"/>
              <w:jc w:val="center"/>
              <w:rPr>
                <w:b/>
                <w:sz w:val="20"/>
                <w:szCs w:val="20"/>
              </w:rPr>
            </w:pPr>
            <w:r w:rsidRPr="00F56999">
              <w:rPr>
                <w:b/>
                <w:sz w:val="20"/>
                <w:szCs w:val="20"/>
              </w:rPr>
              <w:t>Предложения и становища</w:t>
            </w:r>
          </w:p>
        </w:tc>
        <w:tc>
          <w:tcPr>
            <w:tcW w:w="1701" w:type="dxa"/>
            <w:tcBorders>
              <w:bottom w:val="single" w:sz="24" w:space="0" w:color="auto"/>
            </w:tcBorders>
            <w:shd w:val="clear" w:color="auto" w:fill="BFBFBF"/>
            <w:vAlign w:val="center"/>
          </w:tcPr>
          <w:p w14:paraId="4CBF940F" w14:textId="77777777" w:rsidR="00F56999" w:rsidRPr="00F56999" w:rsidRDefault="00F56999" w:rsidP="0032403B">
            <w:pPr>
              <w:tabs>
                <w:tab w:val="left" w:pos="1020"/>
                <w:tab w:val="left" w:pos="1230"/>
              </w:tabs>
              <w:spacing w:line="240" w:lineRule="auto"/>
              <w:ind w:firstLine="0"/>
              <w:jc w:val="center"/>
              <w:rPr>
                <w:b/>
                <w:sz w:val="20"/>
                <w:szCs w:val="20"/>
              </w:rPr>
            </w:pPr>
            <w:r w:rsidRPr="00F56999">
              <w:rPr>
                <w:b/>
                <w:sz w:val="20"/>
                <w:szCs w:val="20"/>
              </w:rPr>
              <w:t>Приети/</w:t>
            </w:r>
          </w:p>
          <w:p w14:paraId="6C9FDEDC" w14:textId="77777777" w:rsidR="00F56999" w:rsidRPr="00F56999" w:rsidRDefault="00F56999" w:rsidP="0032403B">
            <w:pPr>
              <w:tabs>
                <w:tab w:val="left" w:pos="1020"/>
                <w:tab w:val="left" w:pos="1230"/>
              </w:tabs>
              <w:spacing w:line="240" w:lineRule="auto"/>
              <w:ind w:firstLine="0"/>
              <w:jc w:val="center"/>
              <w:rPr>
                <w:b/>
                <w:sz w:val="20"/>
                <w:szCs w:val="20"/>
              </w:rPr>
            </w:pPr>
            <w:r w:rsidRPr="00F56999">
              <w:rPr>
                <w:b/>
                <w:sz w:val="20"/>
                <w:szCs w:val="20"/>
              </w:rPr>
              <w:t>неприети</w:t>
            </w:r>
          </w:p>
        </w:tc>
        <w:tc>
          <w:tcPr>
            <w:tcW w:w="3788" w:type="dxa"/>
            <w:tcBorders>
              <w:bottom w:val="single" w:sz="24" w:space="0" w:color="auto"/>
              <w:right w:val="single" w:sz="24" w:space="0" w:color="auto"/>
            </w:tcBorders>
            <w:shd w:val="clear" w:color="auto" w:fill="BFBFBF"/>
            <w:vAlign w:val="center"/>
          </w:tcPr>
          <w:p w14:paraId="4C358ED7" w14:textId="77777777" w:rsidR="00F56999" w:rsidRPr="00F56999" w:rsidRDefault="00F56999" w:rsidP="0032403B">
            <w:pPr>
              <w:tabs>
                <w:tab w:val="left" w:pos="1020"/>
                <w:tab w:val="left" w:pos="1230"/>
              </w:tabs>
              <w:spacing w:line="240" w:lineRule="auto"/>
              <w:ind w:firstLine="0"/>
              <w:jc w:val="center"/>
              <w:rPr>
                <w:b/>
                <w:sz w:val="20"/>
                <w:szCs w:val="20"/>
              </w:rPr>
            </w:pPr>
            <w:r w:rsidRPr="00F56999">
              <w:rPr>
                <w:b/>
                <w:sz w:val="20"/>
                <w:szCs w:val="20"/>
              </w:rPr>
              <w:t>Мотиви</w:t>
            </w:r>
          </w:p>
        </w:tc>
      </w:tr>
      <w:tr w:rsidR="002E3E2C" w:rsidRPr="00F56999" w14:paraId="054BF920" w14:textId="77777777" w:rsidTr="00B04490">
        <w:trPr>
          <w:gridAfter w:val="1"/>
          <w:wAfter w:w="14" w:type="dxa"/>
          <w:trHeight w:val="1170"/>
        </w:trPr>
        <w:tc>
          <w:tcPr>
            <w:tcW w:w="426" w:type="dxa"/>
            <w:tcBorders>
              <w:top w:val="single" w:sz="24" w:space="0" w:color="auto"/>
              <w:left w:val="single" w:sz="24" w:space="0" w:color="auto"/>
              <w:bottom w:val="single" w:sz="24" w:space="0" w:color="auto"/>
              <w:right w:val="single" w:sz="24" w:space="0" w:color="auto"/>
            </w:tcBorders>
            <w:shd w:val="clear" w:color="auto" w:fill="auto"/>
            <w:vAlign w:val="center"/>
          </w:tcPr>
          <w:p w14:paraId="7B71D22C" w14:textId="77777777" w:rsidR="002E3E2C" w:rsidRPr="00F56999" w:rsidRDefault="002E3E2C" w:rsidP="0032403B">
            <w:pPr>
              <w:numPr>
                <w:ilvl w:val="0"/>
                <w:numId w:val="35"/>
              </w:numPr>
              <w:tabs>
                <w:tab w:val="left" w:pos="720"/>
                <w:tab w:val="left" w:pos="1230"/>
              </w:tabs>
              <w:spacing w:line="240" w:lineRule="auto"/>
              <w:ind w:right="320"/>
              <w:jc w:val="left"/>
              <w:rPr>
                <w:b/>
                <w:sz w:val="20"/>
                <w:szCs w:val="20"/>
              </w:rPr>
            </w:pPr>
          </w:p>
        </w:tc>
        <w:tc>
          <w:tcPr>
            <w:tcW w:w="1560" w:type="dxa"/>
            <w:tcBorders>
              <w:top w:val="single" w:sz="24" w:space="0" w:color="auto"/>
              <w:left w:val="single" w:sz="24" w:space="0" w:color="auto"/>
              <w:bottom w:val="single" w:sz="24" w:space="0" w:color="auto"/>
              <w:right w:val="single" w:sz="12" w:space="0" w:color="auto"/>
            </w:tcBorders>
            <w:shd w:val="clear" w:color="auto" w:fill="auto"/>
            <w:vAlign w:val="center"/>
          </w:tcPr>
          <w:p w14:paraId="5898D2C0" w14:textId="13607EA6" w:rsidR="002E3E2C" w:rsidRPr="00B06B7C" w:rsidRDefault="00B06B7C" w:rsidP="00B06B7C">
            <w:pPr>
              <w:tabs>
                <w:tab w:val="left" w:pos="1020"/>
                <w:tab w:val="left" w:pos="1230"/>
              </w:tabs>
              <w:spacing w:line="240" w:lineRule="auto"/>
              <w:ind w:firstLine="0"/>
              <w:rPr>
                <w:b/>
                <w:sz w:val="20"/>
                <w:szCs w:val="20"/>
                <w:lang w:val="en-US"/>
              </w:rPr>
            </w:pPr>
            <w:r>
              <w:rPr>
                <w:b/>
                <w:sz w:val="20"/>
                <w:szCs w:val="20"/>
              </w:rPr>
              <w:t>22.04.2026 г. - по електронна поща</w:t>
            </w:r>
            <w:r w:rsidR="002E3E2C">
              <w:rPr>
                <w:b/>
                <w:sz w:val="20"/>
                <w:szCs w:val="20"/>
              </w:rPr>
              <w:t xml:space="preserve"> до МОСВ</w:t>
            </w:r>
            <w:r>
              <w:rPr>
                <w:b/>
                <w:sz w:val="20"/>
                <w:szCs w:val="20"/>
                <w:lang w:val="en-US"/>
              </w:rPr>
              <w:t xml:space="preserve"> </w:t>
            </w:r>
            <w:r>
              <w:rPr>
                <w:b/>
                <w:sz w:val="20"/>
                <w:szCs w:val="20"/>
              </w:rPr>
              <w:t>(</w:t>
            </w:r>
            <w:hyperlink r:id="rId8" w:history="1">
              <w:r w:rsidRPr="00E707E1">
                <w:rPr>
                  <w:rStyle w:val="Hyperlink"/>
                  <w:b/>
                  <w:sz w:val="20"/>
                  <w:szCs w:val="20"/>
                </w:rPr>
                <w:t>edno_gishe@moew.government.bg</w:t>
              </w:r>
            </w:hyperlink>
            <w:r>
              <w:rPr>
                <w:b/>
                <w:sz w:val="20"/>
                <w:szCs w:val="20"/>
                <w:lang w:val="en-US"/>
              </w:rPr>
              <w:t xml:space="preserve">) </w:t>
            </w:r>
          </w:p>
        </w:tc>
        <w:tc>
          <w:tcPr>
            <w:tcW w:w="2126" w:type="dxa"/>
            <w:tcBorders>
              <w:top w:val="single" w:sz="24" w:space="0" w:color="auto"/>
              <w:left w:val="single" w:sz="12" w:space="0" w:color="auto"/>
              <w:bottom w:val="single" w:sz="24" w:space="0" w:color="auto"/>
              <w:right w:val="single" w:sz="12" w:space="0" w:color="auto"/>
            </w:tcBorders>
            <w:shd w:val="clear" w:color="auto" w:fill="auto"/>
            <w:vAlign w:val="center"/>
          </w:tcPr>
          <w:p w14:paraId="79D9F7D2" w14:textId="375F1F7C" w:rsidR="002E3E2C" w:rsidRPr="00F56999" w:rsidRDefault="00777812" w:rsidP="0032403B">
            <w:pPr>
              <w:tabs>
                <w:tab w:val="left" w:pos="1020"/>
                <w:tab w:val="left" w:pos="1230"/>
              </w:tabs>
              <w:spacing w:line="240" w:lineRule="auto"/>
              <w:ind w:firstLine="0"/>
              <w:jc w:val="center"/>
              <w:rPr>
                <w:b/>
                <w:sz w:val="20"/>
                <w:szCs w:val="20"/>
              </w:rPr>
            </w:pPr>
            <w:r>
              <w:rPr>
                <w:b/>
                <w:sz w:val="20"/>
                <w:szCs w:val="20"/>
              </w:rPr>
              <w:t>Инж</w:t>
            </w:r>
            <w:r w:rsidR="00B06B7C">
              <w:rPr>
                <w:b/>
                <w:sz w:val="20"/>
                <w:szCs w:val="20"/>
              </w:rPr>
              <w:t xml:space="preserve">. Димитър Манолов, президент на </w:t>
            </w:r>
            <w:r w:rsidR="002E3E2C" w:rsidRPr="006D0E19">
              <w:rPr>
                <w:b/>
                <w:sz w:val="20"/>
                <w:szCs w:val="20"/>
              </w:rPr>
              <w:t>КТ „Подкрепа“</w:t>
            </w:r>
          </w:p>
        </w:tc>
        <w:tc>
          <w:tcPr>
            <w:tcW w:w="1984" w:type="dxa"/>
            <w:tcBorders>
              <w:top w:val="single" w:sz="24" w:space="0" w:color="auto"/>
              <w:left w:val="single" w:sz="12" w:space="0" w:color="auto"/>
              <w:bottom w:val="single" w:sz="24" w:space="0" w:color="auto"/>
            </w:tcBorders>
            <w:shd w:val="clear" w:color="auto" w:fill="auto"/>
            <w:vAlign w:val="center"/>
          </w:tcPr>
          <w:p w14:paraId="3A053EF5" w14:textId="7AE42DED" w:rsidR="002E3E2C" w:rsidRPr="00F56999" w:rsidRDefault="004334F4" w:rsidP="0032403B">
            <w:pPr>
              <w:tabs>
                <w:tab w:val="left" w:pos="1020"/>
                <w:tab w:val="left" w:pos="1230"/>
              </w:tabs>
              <w:spacing w:line="240" w:lineRule="auto"/>
              <w:ind w:firstLine="0"/>
              <w:jc w:val="left"/>
              <w:rPr>
                <w:bCs/>
                <w:sz w:val="20"/>
                <w:szCs w:val="20"/>
              </w:rPr>
            </w:pPr>
            <w:sdt>
              <w:sdtPr>
                <w:rPr>
                  <w:bCs/>
                  <w:sz w:val="20"/>
                  <w:szCs w:val="20"/>
                </w:rPr>
                <w:id w:val="1564980067"/>
                <w14:checkbox>
                  <w14:checked w14:val="0"/>
                  <w14:checkedState w14:val="2612" w14:font="MS Gothic"/>
                  <w14:uncheckedState w14:val="2610" w14:font="MS Gothic"/>
                </w14:checkbox>
              </w:sdtPr>
              <w:sdtEndPr/>
              <w:sdtContent>
                <w:r w:rsidR="00B06B7C">
                  <w:rPr>
                    <w:rFonts w:ascii="MS Gothic" w:eastAsia="MS Gothic" w:hAnsi="MS Gothic" w:hint="eastAsia"/>
                    <w:bCs/>
                    <w:sz w:val="20"/>
                    <w:szCs w:val="20"/>
                  </w:rPr>
                  <w:t>☐</w:t>
                </w:r>
              </w:sdtContent>
            </w:sdt>
            <w:r w:rsidR="002E3E2C" w:rsidRPr="00F56999">
              <w:rPr>
                <w:bCs/>
                <w:sz w:val="20"/>
                <w:szCs w:val="20"/>
                <w:lang w:val="en-US"/>
              </w:rPr>
              <w:t xml:space="preserve"> </w:t>
            </w:r>
            <w:r w:rsidR="002E3E2C" w:rsidRPr="00F56999">
              <w:rPr>
                <w:bCs/>
                <w:sz w:val="20"/>
                <w:szCs w:val="20"/>
              </w:rPr>
              <w:t xml:space="preserve">Лицето действа от свое име </w:t>
            </w:r>
          </w:p>
          <w:p w14:paraId="764D06A8" w14:textId="0C9E401C" w:rsidR="002E3E2C" w:rsidRPr="00F56999" w:rsidRDefault="004334F4" w:rsidP="00B06B7C">
            <w:pPr>
              <w:tabs>
                <w:tab w:val="left" w:pos="1020"/>
                <w:tab w:val="left" w:pos="1230"/>
              </w:tabs>
              <w:spacing w:line="240" w:lineRule="auto"/>
              <w:ind w:firstLine="0"/>
              <w:jc w:val="left"/>
              <w:rPr>
                <w:b/>
                <w:sz w:val="20"/>
                <w:szCs w:val="20"/>
              </w:rPr>
            </w:pPr>
            <w:sdt>
              <w:sdtPr>
                <w:rPr>
                  <w:bCs/>
                  <w:sz w:val="20"/>
                  <w:szCs w:val="20"/>
                </w:rPr>
                <w:id w:val="1601526165"/>
                <w14:checkbox>
                  <w14:checked w14:val="1"/>
                  <w14:checkedState w14:val="2612" w14:font="MS Gothic"/>
                  <w14:uncheckedState w14:val="2610" w14:font="MS Gothic"/>
                </w14:checkbox>
              </w:sdtPr>
              <w:sdtEndPr/>
              <w:sdtContent>
                <w:r w:rsidR="00B06B7C">
                  <w:rPr>
                    <w:rFonts w:ascii="MS Gothic" w:eastAsia="MS Gothic" w:hAnsi="MS Gothic" w:hint="eastAsia"/>
                    <w:bCs/>
                    <w:sz w:val="20"/>
                    <w:szCs w:val="20"/>
                  </w:rPr>
                  <w:t>☒</w:t>
                </w:r>
              </w:sdtContent>
            </w:sdt>
            <w:r w:rsidR="002E3E2C" w:rsidRPr="00F56999">
              <w:rPr>
                <w:bCs/>
                <w:sz w:val="20"/>
                <w:szCs w:val="20"/>
                <w:lang w:val="en-US"/>
              </w:rPr>
              <w:t xml:space="preserve"> </w:t>
            </w:r>
            <w:r w:rsidR="002E3E2C" w:rsidRPr="00F56999">
              <w:rPr>
                <w:bCs/>
                <w:sz w:val="20"/>
                <w:szCs w:val="20"/>
              </w:rPr>
              <w:t xml:space="preserve">Лицето защитава позиция от името на </w:t>
            </w:r>
            <w:r w:rsidR="00B06B7C">
              <w:rPr>
                <w:bCs/>
                <w:sz w:val="20"/>
                <w:szCs w:val="20"/>
              </w:rPr>
              <w:t>КТ „Подкрепа“</w:t>
            </w:r>
          </w:p>
        </w:tc>
        <w:tc>
          <w:tcPr>
            <w:tcW w:w="4395" w:type="dxa"/>
            <w:tcBorders>
              <w:top w:val="single" w:sz="24" w:space="0" w:color="auto"/>
            </w:tcBorders>
            <w:shd w:val="clear" w:color="auto" w:fill="auto"/>
            <w:vAlign w:val="center"/>
          </w:tcPr>
          <w:p w14:paraId="390A8DAA" w14:textId="72C1424C" w:rsidR="000D5432" w:rsidRPr="000D5432" w:rsidRDefault="000D5432" w:rsidP="000D5432">
            <w:pPr>
              <w:spacing w:before="240" w:after="200" w:line="276" w:lineRule="auto"/>
              <w:ind w:firstLine="0"/>
              <w:rPr>
                <w:rFonts w:eastAsia="Calibri"/>
                <w:sz w:val="22"/>
                <w:szCs w:val="22"/>
                <w:lang w:eastAsia="en-US"/>
              </w:rPr>
            </w:pPr>
            <w:r w:rsidRPr="000D5432">
              <w:rPr>
                <w:rFonts w:eastAsia="Calibri"/>
                <w:sz w:val="22"/>
                <w:szCs w:val="22"/>
                <w:lang w:eastAsia="en-US"/>
              </w:rPr>
              <w:t xml:space="preserve">КТ „Подкрепа“ категорично възразява срещу приемането на подобни изменения в нормативната уредба, водещи до допълнителна тежест за гражданите и фирмите, свързана със сградния фонд, както и до увеличение на цените на горивата в условия на значително нараснали цени на енергийните ресурси, несигурност по отношение на изменението на цените на нива преди кризата в Близкия Изток, генерираната значителна инфлация, водеща до обричане на мизерия на най-засегнатите </w:t>
            </w:r>
            <w:r w:rsidRPr="000D5432">
              <w:rPr>
                <w:rFonts w:eastAsia="Calibri"/>
                <w:sz w:val="22"/>
                <w:szCs w:val="22"/>
                <w:lang w:eastAsia="en-US"/>
              </w:rPr>
              <w:lastRenderedPageBreak/>
              <w:t>социални групи и до допълнително обедняване на работещите.</w:t>
            </w:r>
          </w:p>
          <w:p w14:paraId="64E97451" w14:textId="77777777" w:rsidR="000D5432" w:rsidRPr="000D5432" w:rsidRDefault="000D5432" w:rsidP="000D5432">
            <w:pPr>
              <w:spacing w:before="240" w:after="200" w:line="276" w:lineRule="auto"/>
              <w:ind w:firstLine="0"/>
              <w:rPr>
                <w:rFonts w:eastAsia="Calibri"/>
                <w:sz w:val="22"/>
                <w:szCs w:val="22"/>
                <w:lang w:eastAsia="en-US"/>
              </w:rPr>
            </w:pPr>
            <w:r w:rsidRPr="000D5432">
              <w:rPr>
                <w:rFonts w:eastAsia="Calibri"/>
                <w:sz w:val="22"/>
                <w:szCs w:val="22"/>
                <w:lang w:eastAsia="en-US"/>
              </w:rPr>
              <w:t>Предложените промени за въвеждане на СТЕ 2 не създадат условия за успокояване на цените и намаляване на бедността, а напротив - генерират допълнителна тежест в посока увеличение на разходите на фирмите и домакинствата, без да са компенсирани инфлационно доходите им.</w:t>
            </w:r>
          </w:p>
          <w:p w14:paraId="6B204527" w14:textId="77777777" w:rsidR="000D5432" w:rsidRPr="000D5432" w:rsidRDefault="000D5432" w:rsidP="000D5432">
            <w:pPr>
              <w:spacing w:before="240" w:after="200" w:line="276" w:lineRule="auto"/>
              <w:ind w:firstLine="0"/>
              <w:rPr>
                <w:rFonts w:eastAsia="Calibri"/>
                <w:sz w:val="22"/>
                <w:szCs w:val="22"/>
                <w:lang w:eastAsia="en-US"/>
              </w:rPr>
            </w:pPr>
            <w:r w:rsidRPr="000D5432">
              <w:rPr>
                <w:rFonts w:eastAsia="Calibri"/>
                <w:sz w:val="22"/>
                <w:szCs w:val="22"/>
                <w:lang w:eastAsia="en-US"/>
              </w:rPr>
              <w:t>За пореден път липсва и адекватна финансова обосновка за прекия и косвен ефект върху домакинствата и предприятията, което е в разрез с нормативните изисквания, т.е. е налице неглижиране на ефектите върху социалната и икономическата среда.</w:t>
            </w:r>
          </w:p>
          <w:p w14:paraId="5009E16D" w14:textId="77777777" w:rsidR="000D5432" w:rsidRPr="000D5432" w:rsidRDefault="000D5432" w:rsidP="000D5432">
            <w:pPr>
              <w:spacing w:before="240" w:after="200" w:line="276" w:lineRule="auto"/>
              <w:ind w:firstLine="0"/>
              <w:rPr>
                <w:rFonts w:eastAsia="Calibri"/>
                <w:sz w:val="22"/>
                <w:szCs w:val="22"/>
                <w:lang w:eastAsia="en-US"/>
              </w:rPr>
            </w:pPr>
            <w:r w:rsidRPr="000D5432">
              <w:rPr>
                <w:rFonts w:eastAsia="Calibri"/>
                <w:sz w:val="22"/>
                <w:szCs w:val="22"/>
                <w:lang w:eastAsia="en-US"/>
              </w:rPr>
              <w:t>Вносителят в Частичната предварителна оценка на въздействието е посочил, че няма ефект върху МСП, няма промяна на административната тежест, не са идентифицирани социални отрицателни въздействия и т.н.</w:t>
            </w:r>
          </w:p>
          <w:p w14:paraId="261A00F8" w14:textId="77777777" w:rsidR="000D5432" w:rsidRPr="000D5432" w:rsidRDefault="000D5432" w:rsidP="000D5432">
            <w:pPr>
              <w:spacing w:before="240" w:after="200" w:line="276" w:lineRule="auto"/>
              <w:ind w:firstLine="0"/>
              <w:rPr>
                <w:rFonts w:eastAsia="Calibri"/>
                <w:sz w:val="22"/>
                <w:szCs w:val="22"/>
                <w:lang w:eastAsia="en-US"/>
              </w:rPr>
            </w:pPr>
            <w:r w:rsidRPr="000D5432">
              <w:rPr>
                <w:rFonts w:eastAsia="Calibri"/>
                <w:sz w:val="22"/>
                <w:szCs w:val="22"/>
                <w:lang w:eastAsia="en-US"/>
              </w:rPr>
              <w:t xml:space="preserve">Подходът на МОСВ е формален, непрофесионален и дори не е направен опит да се отчете огромното напрежение в </w:t>
            </w:r>
            <w:r w:rsidRPr="000D5432">
              <w:rPr>
                <w:rFonts w:eastAsia="Calibri"/>
                <w:sz w:val="22"/>
                <w:szCs w:val="22"/>
                <w:lang w:eastAsia="en-US"/>
              </w:rPr>
              <w:lastRenderedPageBreak/>
              <w:t>обществото, генерирано от съществуващата икономическа криза и инфлацията.</w:t>
            </w:r>
          </w:p>
          <w:p w14:paraId="4EA3F2EC" w14:textId="77777777" w:rsidR="000D5432" w:rsidRPr="000D5432" w:rsidRDefault="000D5432" w:rsidP="000D5432">
            <w:pPr>
              <w:spacing w:before="240" w:after="200" w:line="276" w:lineRule="auto"/>
              <w:ind w:firstLine="0"/>
              <w:rPr>
                <w:rFonts w:eastAsia="Calibri"/>
                <w:sz w:val="22"/>
                <w:szCs w:val="22"/>
                <w:lang w:eastAsia="en-US"/>
              </w:rPr>
            </w:pPr>
            <w:r w:rsidRPr="000D5432">
              <w:rPr>
                <w:rFonts w:eastAsia="Calibri"/>
                <w:sz w:val="22"/>
                <w:szCs w:val="22"/>
                <w:lang w:eastAsia="en-US"/>
              </w:rPr>
              <w:t>Министерският съвет дава подобно становище по приложената оценка на въздействието.</w:t>
            </w:r>
          </w:p>
          <w:p w14:paraId="02AB36DB" w14:textId="77777777" w:rsidR="000D5432" w:rsidRPr="000D5432" w:rsidRDefault="000D5432" w:rsidP="000D5432">
            <w:pPr>
              <w:spacing w:before="240" w:after="200" w:line="276" w:lineRule="auto"/>
              <w:ind w:firstLine="0"/>
              <w:rPr>
                <w:rFonts w:eastAsia="Calibri"/>
                <w:sz w:val="22"/>
                <w:szCs w:val="22"/>
                <w:lang w:eastAsia="en-US"/>
              </w:rPr>
            </w:pPr>
            <w:r w:rsidRPr="000D5432">
              <w:rPr>
                <w:rFonts w:eastAsia="Calibri"/>
                <w:sz w:val="22"/>
                <w:szCs w:val="22"/>
                <w:lang w:eastAsia="en-US"/>
              </w:rPr>
              <w:t>Във връзка с гореизложеното КТ „Подкрепа“ настоява:</w:t>
            </w:r>
          </w:p>
          <w:p w14:paraId="7D643158" w14:textId="79573DE7" w:rsidR="000D5432" w:rsidRPr="000D5432" w:rsidRDefault="000D5432" w:rsidP="000D5432">
            <w:pPr>
              <w:spacing w:before="240" w:after="200" w:line="276" w:lineRule="auto"/>
              <w:ind w:firstLine="0"/>
              <w:rPr>
                <w:rFonts w:eastAsia="Calibri"/>
                <w:sz w:val="22"/>
                <w:szCs w:val="22"/>
                <w:lang w:eastAsia="en-US"/>
              </w:rPr>
            </w:pPr>
            <w:r>
              <w:rPr>
                <w:rFonts w:eastAsia="Calibri"/>
                <w:sz w:val="22"/>
                <w:szCs w:val="22"/>
                <w:lang w:eastAsia="en-US"/>
              </w:rPr>
              <w:t xml:space="preserve">1. </w:t>
            </w:r>
            <w:r w:rsidRPr="000D5432">
              <w:rPr>
                <w:rFonts w:eastAsia="Calibri"/>
                <w:sz w:val="22"/>
                <w:szCs w:val="22"/>
                <w:lang w:eastAsia="en-US"/>
              </w:rPr>
              <w:t>Проектът да се върне незабавно на МОСВ.</w:t>
            </w:r>
          </w:p>
          <w:p w14:paraId="07C5E93F" w14:textId="10D383AD" w:rsidR="000D5432" w:rsidRPr="000D5432" w:rsidRDefault="000D5432" w:rsidP="000D5432">
            <w:pPr>
              <w:spacing w:before="240" w:after="200" w:line="276" w:lineRule="auto"/>
              <w:ind w:firstLine="0"/>
              <w:rPr>
                <w:rFonts w:eastAsia="Calibri"/>
                <w:sz w:val="22"/>
                <w:szCs w:val="22"/>
                <w:lang w:eastAsia="en-US"/>
              </w:rPr>
            </w:pPr>
            <w:r>
              <w:rPr>
                <w:rFonts w:eastAsia="Calibri"/>
                <w:sz w:val="22"/>
                <w:szCs w:val="22"/>
                <w:lang w:eastAsia="en-US"/>
              </w:rPr>
              <w:t xml:space="preserve">2. </w:t>
            </w:r>
            <w:r w:rsidRPr="000D5432">
              <w:rPr>
                <w:rFonts w:eastAsia="Calibri"/>
                <w:sz w:val="22"/>
                <w:szCs w:val="22"/>
                <w:lang w:eastAsia="en-US"/>
              </w:rPr>
              <w:t>Да се създаде работна група от заинтересованите страни.</w:t>
            </w:r>
          </w:p>
          <w:p w14:paraId="4E91CC0F" w14:textId="267512E6" w:rsidR="000D5432" w:rsidRPr="000D5432" w:rsidRDefault="000D5432" w:rsidP="000D5432">
            <w:pPr>
              <w:spacing w:before="240" w:after="200" w:line="276" w:lineRule="auto"/>
              <w:ind w:firstLine="0"/>
              <w:rPr>
                <w:rFonts w:eastAsia="Calibri"/>
                <w:sz w:val="22"/>
                <w:szCs w:val="22"/>
                <w:lang w:eastAsia="en-US"/>
              </w:rPr>
            </w:pPr>
            <w:r>
              <w:rPr>
                <w:rFonts w:eastAsia="Calibri"/>
                <w:sz w:val="22"/>
                <w:szCs w:val="22"/>
                <w:lang w:eastAsia="en-US"/>
              </w:rPr>
              <w:t xml:space="preserve">3. </w:t>
            </w:r>
            <w:r w:rsidRPr="000D5432">
              <w:rPr>
                <w:rFonts w:eastAsia="Calibri"/>
                <w:sz w:val="22"/>
                <w:szCs w:val="22"/>
                <w:lang w:eastAsia="en-US"/>
              </w:rPr>
              <w:t>Да се изготви адекватна оценка на въздействието, касаеща икономическите и социалните ефекти.</w:t>
            </w:r>
          </w:p>
          <w:p w14:paraId="4A4E41CD" w14:textId="4964F9E3" w:rsidR="000D5432" w:rsidRPr="000D5432" w:rsidRDefault="000D5432" w:rsidP="000D5432">
            <w:pPr>
              <w:spacing w:before="240" w:after="200" w:line="276" w:lineRule="auto"/>
              <w:ind w:firstLine="0"/>
              <w:rPr>
                <w:rFonts w:eastAsia="Calibri"/>
                <w:sz w:val="22"/>
                <w:szCs w:val="22"/>
                <w:lang w:eastAsia="en-US"/>
              </w:rPr>
            </w:pPr>
            <w:r>
              <w:rPr>
                <w:rFonts w:eastAsia="Calibri"/>
                <w:sz w:val="22"/>
                <w:szCs w:val="22"/>
                <w:lang w:eastAsia="en-US"/>
              </w:rPr>
              <w:t xml:space="preserve">4. </w:t>
            </w:r>
            <w:r w:rsidRPr="000D5432">
              <w:rPr>
                <w:rFonts w:eastAsia="Calibri"/>
                <w:sz w:val="22"/>
                <w:szCs w:val="22"/>
                <w:lang w:eastAsia="en-US"/>
              </w:rPr>
              <w:t>Да се отложи максимално прилагането (приемането на подзаконови актове) на механизма СТЕ 2, до успокояване и стабилизиране на геополитическата и икономическата среда.</w:t>
            </w:r>
          </w:p>
          <w:p w14:paraId="373F33F5" w14:textId="06ADF70A" w:rsidR="000D5432" w:rsidRPr="000D5432" w:rsidRDefault="000D5432" w:rsidP="000D5432">
            <w:pPr>
              <w:spacing w:before="240" w:after="200" w:line="276" w:lineRule="auto"/>
              <w:ind w:firstLine="0"/>
              <w:rPr>
                <w:rFonts w:eastAsia="Calibri"/>
                <w:sz w:val="22"/>
                <w:szCs w:val="22"/>
                <w:lang w:eastAsia="en-US"/>
              </w:rPr>
            </w:pPr>
            <w:r>
              <w:rPr>
                <w:rFonts w:eastAsia="Calibri"/>
                <w:sz w:val="22"/>
                <w:szCs w:val="22"/>
                <w:lang w:eastAsia="en-US"/>
              </w:rPr>
              <w:t xml:space="preserve">5. </w:t>
            </w:r>
            <w:r w:rsidRPr="000D5432">
              <w:rPr>
                <w:rFonts w:eastAsia="Calibri"/>
                <w:sz w:val="22"/>
                <w:szCs w:val="22"/>
                <w:lang w:eastAsia="en-US"/>
              </w:rPr>
              <w:t>Правителството да започне незабавно предговори с Европейската комисия за дерогиране на изискванията, предвид икономическите и социалните условия.</w:t>
            </w:r>
          </w:p>
          <w:p w14:paraId="04054A14" w14:textId="0EB919B8" w:rsidR="002E3E2C" w:rsidRPr="00F56999" w:rsidRDefault="000D5432" w:rsidP="000D5432">
            <w:pPr>
              <w:tabs>
                <w:tab w:val="left" w:pos="1020"/>
                <w:tab w:val="left" w:pos="1230"/>
              </w:tabs>
              <w:spacing w:line="240" w:lineRule="auto"/>
              <w:ind w:firstLine="0"/>
              <w:rPr>
                <w:b/>
                <w:sz w:val="20"/>
                <w:szCs w:val="20"/>
              </w:rPr>
            </w:pPr>
            <w:r w:rsidRPr="000D5432">
              <w:rPr>
                <w:rFonts w:eastAsia="Calibri"/>
                <w:sz w:val="22"/>
                <w:szCs w:val="22"/>
                <w:lang w:eastAsia="en-US"/>
              </w:rPr>
              <w:t xml:space="preserve">КТ „Подкрепа“ нееднократно е изразявала и поддържа горепосоченото становище, но </w:t>
            </w:r>
            <w:r w:rsidRPr="000D5432">
              <w:rPr>
                <w:rFonts w:eastAsia="Calibri"/>
                <w:sz w:val="22"/>
                <w:szCs w:val="22"/>
                <w:lang w:eastAsia="en-US"/>
              </w:rPr>
              <w:lastRenderedPageBreak/>
              <w:t>същото не е взето предвид при изготвянето на проектите на нормативни актове.</w:t>
            </w:r>
          </w:p>
        </w:tc>
        <w:tc>
          <w:tcPr>
            <w:tcW w:w="1701" w:type="dxa"/>
            <w:tcBorders>
              <w:top w:val="single" w:sz="24" w:space="0" w:color="auto"/>
            </w:tcBorders>
            <w:shd w:val="clear" w:color="auto" w:fill="auto"/>
            <w:vAlign w:val="center"/>
          </w:tcPr>
          <w:p w14:paraId="59F79C3C" w14:textId="5DC6348D" w:rsidR="002E3E2C" w:rsidRPr="00F56999" w:rsidRDefault="00B04490" w:rsidP="00B04490">
            <w:pPr>
              <w:tabs>
                <w:tab w:val="left" w:pos="1020"/>
                <w:tab w:val="left" w:pos="1230"/>
              </w:tabs>
              <w:spacing w:line="240" w:lineRule="auto"/>
              <w:ind w:firstLine="0"/>
              <w:jc w:val="left"/>
              <w:rPr>
                <w:b/>
                <w:sz w:val="20"/>
                <w:szCs w:val="20"/>
              </w:rPr>
            </w:pPr>
            <w:r w:rsidRPr="00B04490">
              <w:rPr>
                <w:b/>
                <w:sz w:val="20"/>
                <w:szCs w:val="20"/>
              </w:rPr>
              <w:lastRenderedPageBreak/>
              <w:t xml:space="preserve">Не се приема като </w:t>
            </w:r>
            <w:proofErr w:type="spellStart"/>
            <w:r w:rsidRPr="00B04490">
              <w:rPr>
                <w:b/>
                <w:sz w:val="20"/>
                <w:szCs w:val="20"/>
              </w:rPr>
              <w:t>относимо</w:t>
            </w:r>
            <w:proofErr w:type="spellEnd"/>
            <w:r w:rsidRPr="00B04490">
              <w:rPr>
                <w:b/>
                <w:sz w:val="20"/>
                <w:szCs w:val="20"/>
              </w:rPr>
              <w:t xml:space="preserve"> към настоящия проект на акт, но изложеното становище ще бъде взето предвид при бъдещи преговори на европейско ниво </w:t>
            </w:r>
            <w:r>
              <w:rPr>
                <w:b/>
                <w:sz w:val="20"/>
                <w:szCs w:val="20"/>
              </w:rPr>
              <w:t>по</w:t>
            </w:r>
            <w:r w:rsidRPr="00B04490">
              <w:rPr>
                <w:b/>
                <w:sz w:val="20"/>
                <w:szCs w:val="20"/>
              </w:rPr>
              <w:t xml:space="preserve"> СТЕ 2.</w:t>
            </w:r>
          </w:p>
        </w:tc>
        <w:tc>
          <w:tcPr>
            <w:tcW w:w="3788" w:type="dxa"/>
            <w:tcBorders>
              <w:top w:val="single" w:sz="24" w:space="0" w:color="auto"/>
              <w:right w:val="single" w:sz="24" w:space="0" w:color="auto"/>
            </w:tcBorders>
            <w:shd w:val="clear" w:color="auto" w:fill="auto"/>
            <w:vAlign w:val="center"/>
          </w:tcPr>
          <w:p w14:paraId="064F8108" w14:textId="77777777" w:rsidR="000D5432" w:rsidRPr="000D5432" w:rsidRDefault="000D5432" w:rsidP="000D5432">
            <w:pPr>
              <w:spacing w:after="200" w:line="276" w:lineRule="auto"/>
              <w:ind w:firstLine="0"/>
              <w:rPr>
                <w:rFonts w:eastAsia="Calibri"/>
                <w:sz w:val="22"/>
                <w:szCs w:val="22"/>
                <w:lang w:eastAsia="en-US"/>
              </w:rPr>
            </w:pPr>
            <w:r w:rsidRPr="000D5432">
              <w:rPr>
                <w:rFonts w:eastAsia="Calibri"/>
                <w:sz w:val="22"/>
                <w:szCs w:val="22"/>
                <w:lang w:eastAsia="en-US"/>
              </w:rPr>
              <w:t>Както е отбелязано в оценката на въздействие, настоящият проект на акт не въвежда Системата за търговия с емисии от сградния сектор, сектора на автомобилния транспорт и допълнителните сектори (ЕСТЕ 2), а само дава технически правила за операторите и компетентния орган, как да се докладват, верифицират и проверяват планове за мониторинг и доклади за емисии на парникови газове, както реда и начина за издаване на разрешителни.</w:t>
            </w:r>
          </w:p>
          <w:p w14:paraId="6659C83C" w14:textId="77777777" w:rsidR="000D5432" w:rsidRPr="000D5432" w:rsidRDefault="000D5432" w:rsidP="000D5432">
            <w:pPr>
              <w:spacing w:after="200" w:line="276" w:lineRule="auto"/>
              <w:ind w:firstLine="0"/>
              <w:rPr>
                <w:rFonts w:eastAsia="Calibri"/>
                <w:sz w:val="22"/>
                <w:szCs w:val="22"/>
                <w:lang w:eastAsia="en-US"/>
              </w:rPr>
            </w:pPr>
            <w:r w:rsidRPr="000D5432">
              <w:rPr>
                <w:rFonts w:eastAsia="Calibri"/>
                <w:sz w:val="22"/>
                <w:szCs w:val="22"/>
                <w:lang w:eastAsia="en-US"/>
              </w:rPr>
              <w:lastRenderedPageBreak/>
              <w:t>ЕСТЕ 2 е заложена в българското законодателство чрез Закона за ограничаване изменението на климата (ДВ бр. 81 от 3.10.2025 г.), при чието приемане е разгледан подробно социалният ефект и отражението за регулираните субекти.</w:t>
            </w:r>
          </w:p>
          <w:p w14:paraId="10FB75A9" w14:textId="2FDFD79B" w:rsidR="000D5432" w:rsidRDefault="000D5432" w:rsidP="000D5432">
            <w:pPr>
              <w:spacing w:after="200" w:line="276" w:lineRule="auto"/>
              <w:ind w:firstLine="0"/>
              <w:rPr>
                <w:rFonts w:eastAsia="Calibri"/>
                <w:sz w:val="22"/>
                <w:szCs w:val="22"/>
                <w:lang w:eastAsia="en-US"/>
              </w:rPr>
            </w:pPr>
            <w:r w:rsidRPr="000D5432">
              <w:rPr>
                <w:rFonts w:eastAsia="Calibri"/>
                <w:sz w:val="22"/>
                <w:szCs w:val="22"/>
                <w:lang w:eastAsia="en-US"/>
              </w:rPr>
              <w:t xml:space="preserve">В Раздел </w:t>
            </w:r>
            <w:proofErr w:type="spellStart"/>
            <w:r w:rsidRPr="000D5432">
              <w:rPr>
                <w:rFonts w:eastAsia="Calibri"/>
                <w:sz w:val="22"/>
                <w:szCs w:val="22"/>
                <w:lang w:eastAsia="en-US"/>
              </w:rPr>
              <w:t>VIa</w:t>
            </w:r>
            <w:proofErr w:type="spellEnd"/>
            <w:r w:rsidRPr="000D5432">
              <w:rPr>
                <w:rFonts w:eastAsia="Calibri"/>
                <w:sz w:val="22"/>
                <w:szCs w:val="22"/>
                <w:lang w:eastAsia="en-US"/>
              </w:rPr>
              <w:t xml:space="preserve"> от закона, са заложени разпоредби за разрешителните за емисии на парникови газове, издаването и предаването на квоти, мониторинга, докладването и верификацията по отношение на дейността на лицата, които освобождават горива за потребление в секторите по приложение № 3. С настоящия акт, за тези вече съществуващи разпоредби, е доразвита рамката по прилагане.</w:t>
            </w:r>
          </w:p>
          <w:p w14:paraId="395F2076" w14:textId="41AAE4F5" w:rsidR="008513C3" w:rsidRPr="000D5432" w:rsidRDefault="008513C3" w:rsidP="000D5432">
            <w:pPr>
              <w:spacing w:after="200" w:line="276" w:lineRule="auto"/>
              <w:ind w:firstLine="0"/>
              <w:rPr>
                <w:rFonts w:eastAsia="Calibri"/>
                <w:sz w:val="22"/>
                <w:szCs w:val="22"/>
                <w:lang w:eastAsia="en-US"/>
              </w:rPr>
            </w:pPr>
            <w:r>
              <w:rPr>
                <w:rFonts w:eastAsia="Calibri"/>
                <w:sz w:val="22"/>
                <w:szCs w:val="22"/>
                <w:lang w:eastAsia="en-US"/>
              </w:rPr>
              <w:t>Оценката на въздействие е преработена, спрямо указанията на Министерския съвет.</w:t>
            </w:r>
          </w:p>
          <w:p w14:paraId="0B3181C4" w14:textId="6975A419" w:rsidR="002E3E2C" w:rsidRPr="00F56999" w:rsidRDefault="000D5432" w:rsidP="000D5432">
            <w:pPr>
              <w:tabs>
                <w:tab w:val="left" w:pos="1020"/>
                <w:tab w:val="left" w:pos="1230"/>
              </w:tabs>
              <w:spacing w:line="240" w:lineRule="auto"/>
              <w:ind w:firstLine="0"/>
              <w:rPr>
                <w:b/>
                <w:sz w:val="20"/>
                <w:szCs w:val="20"/>
              </w:rPr>
            </w:pPr>
            <w:r w:rsidRPr="000D5432">
              <w:rPr>
                <w:rFonts w:eastAsia="Calibri"/>
                <w:sz w:val="22"/>
                <w:szCs w:val="22"/>
                <w:lang w:eastAsia="en-US"/>
              </w:rPr>
              <w:t xml:space="preserve">В допълнение, предвидените изменения и допълнения не засягат поддържаната позиция на България, изразявана последователно в рамките на различни формати на ниво ЕС, по ключови елементи на Системата за търговия с емисии на парникови </w:t>
            </w:r>
            <w:r w:rsidRPr="000D5432">
              <w:rPr>
                <w:rFonts w:eastAsia="Calibri"/>
                <w:sz w:val="22"/>
                <w:szCs w:val="22"/>
                <w:lang w:eastAsia="en-US"/>
              </w:rPr>
              <w:lastRenderedPageBreak/>
              <w:t>газове (ЕСТЕ), включително по отношение отлагане прилагането на новата схема за търговия с емисии, обхващаща и емисиите от сгради и транспорта (ЕСТЕ 2) поне до 2030 г</w:t>
            </w:r>
            <w:r>
              <w:rPr>
                <w:rFonts w:eastAsia="Calibri"/>
                <w:sz w:val="22"/>
                <w:szCs w:val="22"/>
                <w:lang w:eastAsia="en-US"/>
              </w:rPr>
              <w:t>.</w:t>
            </w:r>
          </w:p>
        </w:tc>
      </w:tr>
      <w:tr w:rsidR="002E3E2C" w:rsidRPr="00F56999" w14:paraId="62CFD70F" w14:textId="77777777" w:rsidTr="00B04490">
        <w:trPr>
          <w:gridAfter w:val="1"/>
          <w:wAfter w:w="14" w:type="dxa"/>
          <w:trHeight w:val="1580"/>
        </w:trPr>
        <w:tc>
          <w:tcPr>
            <w:tcW w:w="426" w:type="dxa"/>
            <w:tcBorders>
              <w:top w:val="single" w:sz="24" w:space="0" w:color="auto"/>
              <w:left w:val="single" w:sz="24" w:space="0" w:color="auto"/>
              <w:bottom w:val="single" w:sz="24" w:space="0" w:color="auto"/>
              <w:right w:val="single" w:sz="24" w:space="0" w:color="auto"/>
            </w:tcBorders>
            <w:shd w:val="clear" w:color="auto" w:fill="auto"/>
            <w:vAlign w:val="center"/>
          </w:tcPr>
          <w:p w14:paraId="30DC71FC" w14:textId="77777777" w:rsidR="002E3E2C" w:rsidRPr="00F56999" w:rsidRDefault="002E3E2C" w:rsidP="0032403B">
            <w:pPr>
              <w:numPr>
                <w:ilvl w:val="0"/>
                <w:numId w:val="35"/>
              </w:numPr>
              <w:tabs>
                <w:tab w:val="left" w:pos="1020"/>
                <w:tab w:val="left" w:pos="1230"/>
              </w:tabs>
              <w:spacing w:line="240" w:lineRule="auto"/>
              <w:jc w:val="left"/>
              <w:rPr>
                <w:b/>
                <w:sz w:val="20"/>
                <w:szCs w:val="20"/>
              </w:rPr>
            </w:pPr>
            <w:bookmarkStart w:id="0" w:name="_Hlk227761736"/>
          </w:p>
        </w:tc>
        <w:tc>
          <w:tcPr>
            <w:tcW w:w="1560" w:type="dxa"/>
            <w:tcBorders>
              <w:top w:val="single" w:sz="24" w:space="0" w:color="auto"/>
              <w:left w:val="single" w:sz="24" w:space="0" w:color="auto"/>
              <w:bottom w:val="single" w:sz="24" w:space="0" w:color="auto"/>
              <w:right w:val="single" w:sz="12" w:space="0" w:color="auto"/>
            </w:tcBorders>
            <w:shd w:val="clear" w:color="auto" w:fill="auto"/>
            <w:vAlign w:val="center"/>
          </w:tcPr>
          <w:p w14:paraId="140DA033" w14:textId="6B60CD58" w:rsidR="002E3E2C" w:rsidRPr="00F56999" w:rsidRDefault="00B06B7C" w:rsidP="006D0E19">
            <w:pPr>
              <w:tabs>
                <w:tab w:val="left" w:pos="1020"/>
                <w:tab w:val="left" w:pos="1230"/>
              </w:tabs>
              <w:spacing w:line="240" w:lineRule="auto"/>
              <w:ind w:firstLine="0"/>
              <w:rPr>
                <w:b/>
                <w:sz w:val="20"/>
                <w:szCs w:val="20"/>
              </w:rPr>
            </w:pPr>
            <w:r>
              <w:rPr>
                <w:b/>
                <w:sz w:val="20"/>
                <w:szCs w:val="20"/>
              </w:rPr>
              <w:t>2</w:t>
            </w:r>
            <w:r>
              <w:rPr>
                <w:b/>
                <w:sz w:val="20"/>
                <w:szCs w:val="20"/>
                <w:lang w:val="en-US"/>
              </w:rPr>
              <w:t>3</w:t>
            </w:r>
            <w:r w:rsidRPr="00B06B7C">
              <w:rPr>
                <w:b/>
                <w:sz w:val="20"/>
                <w:szCs w:val="20"/>
              </w:rPr>
              <w:t>.04.2026 г. - по електронна поща до МОСВ (edno_gishe@moew.government.bg)</w:t>
            </w:r>
          </w:p>
        </w:tc>
        <w:tc>
          <w:tcPr>
            <w:tcW w:w="2126" w:type="dxa"/>
            <w:tcBorders>
              <w:top w:val="single" w:sz="24" w:space="0" w:color="auto"/>
              <w:left w:val="single" w:sz="12" w:space="0" w:color="auto"/>
              <w:bottom w:val="single" w:sz="24" w:space="0" w:color="auto"/>
              <w:right w:val="single" w:sz="12" w:space="0" w:color="auto"/>
            </w:tcBorders>
            <w:shd w:val="clear" w:color="auto" w:fill="auto"/>
            <w:vAlign w:val="center"/>
          </w:tcPr>
          <w:p w14:paraId="69C77B39" w14:textId="2942E53F" w:rsidR="002E3E2C" w:rsidRPr="00F56999" w:rsidRDefault="001576C5" w:rsidP="0032403B">
            <w:pPr>
              <w:tabs>
                <w:tab w:val="left" w:pos="1020"/>
                <w:tab w:val="left" w:pos="1230"/>
              </w:tabs>
              <w:spacing w:line="240" w:lineRule="auto"/>
              <w:ind w:firstLine="0"/>
              <w:jc w:val="center"/>
              <w:rPr>
                <w:b/>
                <w:sz w:val="20"/>
                <w:szCs w:val="20"/>
              </w:rPr>
            </w:pPr>
            <w:r>
              <w:rPr>
                <w:b/>
                <w:sz w:val="20"/>
                <w:szCs w:val="20"/>
              </w:rPr>
              <w:t xml:space="preserve">Г-н Светослав Бенчев, председател на </w:t>
            </w:r>
            <w:r w:rsidR="002E3E2C">
              <w:rPr>
                <w:b/>
                <w:sz w:val="20"/>
                <w:szCs w:val="20"/>
              </w:rPr>
              <w:t>Българска петролна и газова асоциация</w:t>
            </w:r>
          </w:p>
        </w:tc>
        <w:tc>
          <w:tcPr>
            <w:tcW w:w="1984" w:type="dxa"/>
            <w:tcBorders>
              <w:top w:val="single" w:sz="24" w:space="0" w:color="auto"/>
              <w:left w:val="single" w:sz="12" w:space="0" w:color="auto"/>
              <w:bottom w:val="single" w:sz="24" w:space="0" w:color="auto"/>
            </w:tcBorders>
            <w:shd w:val="clear" w:color="auto" w:fill="auto"/>
            <w:vAlign w:val="center"/>
          </w:tcPr>
          <w:p w14:paraId="24CF2A7A" w14:textId="4D3F4758" w:rsidR="002E3E2C" w:rsidRPr="00F56999" w:rsidRDefault="004334F4" w:rsidP="0032403B">
            <w:pPr>
              <w:tabs>
                <w:tab w:val="left" w:pos="1020"/>
                <w:tab w:val="left" w:pos="1230"/>
              </w:tabs>
              <w:spacing w:line="240" w:lineRule="auto"/>
              <w:ind w:firstLine="0"/>
              <w:jc w:val="left"/>
              <w:rPr>
                <w:bCs/>
                <w:sz w:val="20"/>
                <w:szCs w:val="20"/>
              </w:rPr>
            </w:pPr>
            <w:sdt>
              <w:sdtPr>
                <w:rPr>
                  <w:bCs/>
                  <w:sz w:val="20"/>
                  <w:szCs w:val="20"/>
                </w:rPr>
                <w:id w:val="-1142266335"/>
                <w14:checkbox>
                  <w14:checked w14:val="0"/>
                  <w14:checkedState w14:val="2612" w14:font="MS Gothic"/>
                  <w14:uncheckedState w14:val="2610" w14:font="MS Gothic"/>
                </w14:checkbox>
              </w:sdtPr>
              <w:sdtEndPr/>
              <w:sdtContent>
                <w:r w:rsidR="001576C5">
                  <w:rPr>
                    <w:rFonts w:ascii="MS Gothic" w:eastAsia="MS Gothic" w:hAnsi="MS Gothic" w:hint="eastAsia"/>
                    <w:bCs/>
                    <w:sz w:val="20"/>
                    <w:szCs w:val="20"/>
                  </w:rPr>
                  <w:t>☐</w:t>
                </w:r>
              </w:sdtContent>
            </w:sdt>
            <w:r w:rsidR="002E3E2C" w:rsidRPr="00F56999">
              <w:rPr>
                <w:bCs/>
                <w:sz w:val="20"/>
                <w:szCs w:val="20"/>
                <w:lang w:val="en-US"/>
              </w:rPr>
              <w:t xml:space="preserve"> </w:t>
            </w:r>
            <w:r w:rsidR="002E3E2C" w:rsidRPr="00F56999">
              <w:rPr>
                <w:bCs/>
                <w:sz w:val="20"/>
                <w:szCs w:val="20"/>
              </w:rPr>
              <w:t xml:space="preserve">Лицето действа от свое име </w:t>
            </w:r>
          </w:p>
          <w:p w14:paraId="3A9D4BF5" w14:textId="3FCFF075" w:rsidR="002E3E2C" w:rsidRPr="00F56999" w:rsidRDefault="004334F4" w:rsidP="0032403B">
            <w:pPr>
              <w:tabs>
                <w:tab w:val="left" w:pos="1020"/>
                <w:tab w:val="left" w:pos="1230"/>
              </w:tabs>
              <w:spacing w:line="240" w:lineRule="auto"/>
              <w:ind w:firstLine="0"/>
              <w:jc w:val="left"/>
              <w:rPr>
                <w:b/>
                <w:sz w:val="20"/>
                <w:szCs w:val="20"/>
                <w:lang w:val="en-US"/>
              </w:rPr>
            </w:pPr>
            <w:sdt>
              <w:sdtPr>
                <w:rPr>
                  <w:bCs/>
                  <w:sz w:val="20"/>
                  <w:szCs w:val="20"/>
                </w:rPr>
                <w:id w:val="1453214659"/>
                <w14:checkbox>
                  <w14:checked w14:val="1"/>
                  <w14:checkedState w14:val="2612" w14:font="MS Gothic"/>
                  <w14:uncheckedState w14:val="2610" w14:font="MS Gothic"/>
                </w14:checkbox>
              </w:sdtPr>
              <w:sdtEndPr/>
              <w:sdtContent>
                <w:r w:rsidR="001576C5">
                  <w:rPr>
                    <w:rFonts w:ascii="MS Gothic" w:eastAsia="MS Gothic" w:hAnsi="MS Gothic" w:hint="eastAsia"/>
                    <w:bCs/>
                    <w:sz w:val="20"/>
                    <w:szCs w:val="20"/>
                  </w:rPr>
                  <w:t>☒</w:t>
                </w:r>
              </w:sdtContent>
            </w:sdt>
            <w:r w:rsidR="002E3E2C" w:rsidRPr="00F56999">
              <w:rPr>
                <w:sz w:val="20"/>
                <w:szCs w:val="20"/>
              </w:rPr>
              <w:t xml:space="preserve"> </w:t>
            </w:r>
            <w:r w:rsidR="002E3E2C" w:rsidRPr="00F56999">
              <w:rPr>
                <w:bCs/>
                <w:sz w:val="20"/>
                <w:szCs w:val="20"/>
              </w:rPr>
              <w:t xml:space="preserve">Лицето защитава позиция от името на </w:t>
            </w:r>
            <w:r w:rsidR="001576C5" w:rsidRPr="001576C5">
              <w:rPr>
                <w:bCs/>
                <w:sz w:val="20"/>
                <w:szCs w:val="20"/>
              </w:rPr>
              <w:t>Българска петролна и газова асоциация</w:t>
            </w:r>
          </w:p>
        </w:tc>
        <w:tc>
          <w:tcPr>
            <w:tcW w:w="4395" w:type="dxa"/>
            <w:tcBorders>
              <w:top w:val="single" w:sz="24" w:space="0" w:color="auto"/>
            </w:tcBorders>
            <w:shd w:val="clear" w:color="auto" w:fill="auto"/>
            <w:vAlign w:val="center"/>
          </w:tcPr>
          <w:p w14:paraId="00153C4D" w14:textId="77777777" w:rsidR="002E3E2C" w:rsidRPr="002E3E2C" w:rsidRDefault="002E3E2C" w:rsidP="002E3E2C">
            <w:pPr>
              <w:spacing w:before="200" w:after="200" w:line="276" w:lineRule="auto"/>
              <w:ind w:firstLine="0"/>
              <w:rPr>
                <w:rFonts w:eastAsia="Calibri"/>
                <w:sz w:val="22"/>
                <w:szCs w:val="22"/>
                <w:lang w:eastAsia="en-US"/>
              </w:rPr>
            </w:pPr>
            <w:proofErr w:type="spellStart"/>
            <w:r w:rsidRPr="002E3E2C">
              <w:rPr>
                <w:rFonts w:eastAsia="Calibri"/>
                <w:bCs/>
                <w:sz w:val="22"/>
                <w:szCs w:val="22"/>
                <w:lang w:val="en-US" w:eastAsia="en-US"/>
              </w:rPr>
              <w:t>На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първо</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място</w:t>
            </w:r>
            <w:proofErr w:type="spellEnd"/>
            <w:r w:rsidRPr="002E3E2C">
              <w:rPr>
                <w:rFonts w:eastAsia="Calibri"/>
                <w:bCs/>
                <w:sz w:val="22"/>
                <w:szCs w:val="22"/>
                <w:lang w:val="en-US" w:eastAsia="en-US"/>
              </w:rPr>
              <w:t xml:space="preserve"> </w:t>
            </w:r>
            <w:r w:rsidRPr="002E3E2C">
              <w:rPr>
                <w:rFonts w:eastAsia="Calibri"/>
                <w:sz w:val="22"/>
                <w:szCs w:val="22"/>
                <w:lang w:eastAsia="en-US"/>
              </w:rPr>
              <w:t xml:space="preserve">искам да отбележа, че въвеждането на СТЕ 2 в българските условия ще доведе цялостно до рязко поскъпване на горивата за транспорта от </w:t>
            </w:r>
            <w:proofErr w:type="gramStart"/>
            <w:r w:rsidRPr="002E3E2C">
              <w:rPr>
                <w:rFonts w:eastAsia="Calibri"/>
                <w:sz w:val="22"/>
                <w:szCs w:val="22"/>
                <w:lang w:eastAsia="en-US"/>
              </w:rPr>
              <w:t>01.01.2028г.,</w:t>
            </w:r>
            <w:proofErr w:type="gramEnd"/>
            <w:r w:rsidRPr="002E3E2C">
              <w:rPr>
                <w:rFonts w:eastAsia="Calibri"/>
                <w:sz w:val="22"/>
                <w:szCs w:val="22"/>
                <w:lang w:eastAsia="en-US"/>
              </w:rPr>
              <w:t xml:space="preserve"> което от своя страна ще се отрази на икономическия живот у нас. </w:t>
            </w:r>
            <w:proofErr w:type="spellStart"/>
            <w:r w:rsidRPr="002E3E2C">
              <w:rPr>
                <w:rFonts w:eastAsia="Calibri"/>
                <w:bCs/>
                <w:sz w:val="22"/>
                <w:szCs w:val="22"/>
                <w:lang w:val="en-US" w:eastAsia="en-US"/>
              </w:rPr>
              <w:t>Според</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изчисленията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на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сдружение</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Българска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петролна</w:t>
            </w:r>
            <w:proofErr w:type="spellEnd"/>
            <w:r w:rsidRPr="002E3E2C">
              <w:rPr>
                <w:rFonts w:eastAsia="Calibri"/>
                <w:bCs/>
                <w:sz w:val="22"/>
                <w:szCs w:val="22"/>
                <w:lang w:val="en-US" w:eastAsia="en-US"/>
              </w:rPr>
              <w:t xml:space="preserve"> и </w:t>
            </w:r>
            <w:proofErr w:type="spellStart"/>
            <w:r w:rsidRPr="002E3E2C">
              <w:rPr>
                <w:rFonts w:eastAsia="Calibri"/>
                <w:bCs/>
                <w:sz w:val="22"/>
                <w:szCs w:val="22"/>
                <w:lang w:val="en-US" w:eastAsia="en-US"/>
              </w:rPr>
              <w:t>газова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асоциация</w:t>
            </w:r>
            <w:proofErr w:type="spellEnd"/>
            <w:r w:rsidRPr="002E3E2C">
              <w:rPr>
                <w:rFonts w:eastAsia="Calibri"/>
                <w:bCs/>
                <w:sz w:val="22"/>
                <w:szCs w:val="22"/>
                <w:lang w:val="en-US" w:eastAsia="en-US"/>
              </w:rPr>
              <w:t xml:space="preserve">" (БПГА) </w:t>
            </w:r>
            <w:proofErr w:type="spellStart"/>
            <w:r w:rsidRPr="002E3E2C">
              <w:rPr>
                <w:rFonts w:eastAsia="Calibri"/>
                <w:bCs/>
                <w:sz w:val="22"/>
                <w:szCs w:val="22"/>
                <w:lang w:val="en-US" w:eastAsia="en-US"/>
              </w:rPr>
              <w:t>тази</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административна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мярка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ще</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има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за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резултат</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инфлация</w:t>
            </w:r>
            <w:proofErr w:type="spellEnd"/>
            <w:r w:rsidRPr="002E3E2C">
              <w:rPr>
                <w:rFonts w:eastAsia="Calibri"/>
                <w:bCs/>
                <w:sz w:val="22"/>
                <w:szCs w:val="22"/>
                <w:lang w:val="en-US" w:eastAsia="en-US"/>
              </w:rPr>
              <w:t xml:space="preserve"> в </w:t>
            </w:r>
            <w:proofErr w:type="spellStart"/>
            <w:r w:rsidRPr="002E3E2C">
              <w:rPr>
                <w:rFonts w:eastAsia="Calibri"/>
                <w:bCs/>
                <w:sz w:val="22"/>
                <w:szCs w:val="22"/>
                <w:lang w:val="en-US" w:eastAsia="en-US"/>
              </w:rPr>
              <w:t>рамките</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на</w:t>
            </w:r>
            <w:proofErr w:type="spellEnd"/>
            <w:r w:rsidRPr="002E3E2C">
              <w:rPr>
                <w:rFonts w:eastAsia="Calibri"/>
                <w:bCs/>
                <w:sz w:val="22"/>
                <w:szCs w:val="22"/>
                <w:lang w:val="en-US" w:eastAsia="en-US"/>
              </w:rPr>
              <w:t xml:space="preserve"> 1.3 -1.8 </w:t>
            </w:r>
            <w:proofErr w:type="spellStart"/>
            <w:r w:rsidRPr="002E3E2C">
              <w:rPr>
                <w:rFonts w:eastAsia="Calibri"/>
                <w:bCs/>
                <w:sz w:val="22"/>
                <w:szCs w:val="22"/>
                <w:lang w:val="en-US" w:eastAsia="en-US"/>
              </w:rPr>
              <w:t>проценти</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пункта</w:t>
            </w:r>
            <w:proofErr w:type="spellEnd"/>
            <w:r w:rsidRPr="002E3E2C">
              <w:rPr>
                <w:rFonts w:eastAsia="Calibri"/>
                <w:bCs/>
                <w:sz w:val="22"/>
                <w:szCs w:val="22"/>
                <w:lang w:val="en-US" w:eastAsia="en-US"/>
              </w:rPr>
              <w:t xml:space="preserve">. </w:t>
            </w:r>
            <w:r w:rsidRPr="002E3E2C">
              <w:rPr>
                <w:rFonts w:eastAsia="Calibri"/>
                <w:sz w:val="22"/>
                <w:szCs w:val="22"/>
                <w:lang w:eastAsia="en-US"/>
              </w:rPr>
              <w:t>Простото математическо изчисление е базирано на цената на емисионните квоти, която поради тяхната недостатъчност, се очаква да се равнява на стартова цена за закупуването им в размер на 45 евро за тон. В тази връзка считам, че освен от индустрията, обществото следва да бъде информирано и от компетентните държавни органи за последствията от приемането на конкретните политики и нормативните актове по прилагането им.</w:t>
            </w:r>
          </w:p>
          <w:p w14:paraId="49B6FA9D" w14:textId="77777777" w:rsidR="002E3E2C" w:rsidRPr="002E3E2C" w:rsidRDefault="002E3E2C" w:rsidP="002E3E2C">
            <w:pPr>
              <w:spacing w:before="200" w:after="200" w:line="276" w:lineRule="auto"/>
              <w:ind w:firstLine="0"/>
              <w:rPr>
                <w:rFonts w:eastAsia="Calibri"/>
                <w:sz w:val="22"/>
                <w:szCs w:val="22"/>
                <w:lang w:eastAsia="en-US"/>
              </w:rPr>
            </w:pPr>
            <w:r w:rsidRPr="002E3E2C">
              <w:rPr>
                <w:rFonts w:eastAsia="Calibri"/>
                <w:sz w:val="22"/>
                <w:szCs w:val="22"/>
                <w:lang w:eastAsia="en-US"/>
              </w:rPr>
              <w:t xml:space="preserve">Цялостно за подобно нововъведение е необходима гъвкавост за управление на </w:t>
            </w:r>
            <w:proofErr w:type="spellStart"/>
            <w:r w:rsidRPr="002E3E2C">
              <w:rPr>
                <w:rFonts w:eastAsia="Calibri"/>
                <w:sz w:val="22"/>
                <w:szCs w:val="22"/>
                <w:lang w:eastAsia="en-US"/>
              </w:rPr>
              <w:t>волатилността</w:t>
            </w:r>
            <w:proofErr w:type="spellEnd"/>
            <w:r w:rsidRPr="002E3E2C">
              <w:rPr>
                <w:rFonts w:eastAsia="Calibri"/>
                <w:sz w:val="22"/>
                <w:szCs w:val="22"/>
                <w:lang w:eastAsia="en-US"/>
              </w:rPr>
              <w:t xml:space="preserve"> и подкрепа за плавен старт на системата, които липсват към настоящия </w:t>
            </w:r>
            <w:r w:rsidRPr="002E3E2C">
              <w:rPr>
                <w:rFonts w:eastAsia="Calibri"/>
                <w:sz w:val="22"/>
                <w:szCs w:val="22"/>
                <w:lang w:eastAsia="en-US"/>
              </w:rPr>
              <w:lastRenderedPageBreak/>
              <w:t xml:space="preserve">момент. СТЕ 2 допълнена със стандарти и изисквания може да спомогне за намаляване на емисиите от сгради и пътен транспорт, както и да бъде използвана, за да генерира финансов ресурс за подпомагане на ниско емисионни горива. Затова схемата за търговия се емисии следва да се разглежда като част от по-широка, взаимно подсилваща се политическа рамка; включително с Директивата за възобновяема енергия (RED), стандартите за С02 и други свързани мерки, които в тяхната цялост подкрепят </w:t>
            </w:r>
            <w:proofErr w:type="spellStart"/>
            <w:r w:rsidRPr="002E3E2C">
              <w:rPr>
                <w:rFonts w:eastAsia="Calibri"/>
                <w:sz w:val="22"/>
                <w:szCs w:val="22"/>
                <w:lang w:eastAsia="en-US"/>
              </w:rPr>
              <w:t>декарбонизацията</w:t>
            </w:r>
            <w:proofErr w:type="spellEnd"/>
            <w:r w:rsidRPr="002E3E2C">
              <w:rPr>
                <w:rFonts w:eastAsia="Calibri"/>
                <w:sz w:val="22"/>
                <w:szCs w:val="22"/>
                <w:lang w:eastAsia="en-US"/>
              </w:rPr>
              <w:t xml:space="preserve"> и са в основата на ефективното функциониране на системата. Нещо, което към настоящия момент не се случва поради липса на цялостна политика в транспортния сектор и има потенциал да доведе до трайно негативни последици за българската икономика.</w:t>
            </w:r>
          </w:p>
          <w:p w14:paraId="0BB92C10" w14:textId="77777777" w:rsidR="002E3E2C" w:rsidRPr="002E3E2C" w:rsidRDefault="002E3E2C" w:rsidP="002E3E2C">
            <w:pPr>
              <w:spacing w:before="200" w:after="200" w:line="276" w:lineRule="auto"/>
              <w:ind w:firstLine="0"/>
              <w:rPr>
                <w:rFonts w:eastAsia="Calibri"/>
                <w:sz w:val="22"/>
                <w:szCs w:val="22"/>
                <w:lang w:eastAsia="en-US"/>
              </w:rPr>
            </w:pPr>
            <w:proofErr w:type="spellStart"/>
            <w:r w:rsidRPr="002E3E2C">
              <w:rPr>
                <w:rFonts w:eastAsia="Calibri"/>
                <w:bCs/>
                <w:sz w:val="22"/>
                <w:szCs w:val="22"/>
                <w:lang w:val="en-US" w:eastAsia="en-US"/>
              </w:rPr>
              <w:t>На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второ</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място</w:t>
            </w:r>
            <w:proofErr w:type="spellEnd"/>
            <w:r w:rsidRPr="002E3E2C">
              <w:rPr>
                <w:rFonts w:eastAsia="Calibri"/>
                <w:bCs/>
                <w:sz w:val="22"/>
                <w:szCs w:val="22"/>
                <w:lang w:val="en-US" w:eastAsia="en-US"/>
              </w:rPr>
              <w:t xml:space="preserve"> </w:t>
            </w:r>
            <w:r w:rsidRPr="002E3E2C">
              <w:rPr>
                <w:rFonts w:eastAsia="Calibri"/>
                <w:sz w:val="22"/>
                <w:szCs w:val="22"/>
                <w:lang w:eastAsia="en-US"/>
              </w:rPr>
              <w:t xml:space="preserve">от БПГА не можем да се съгласим с представените от Министерството на околната среда и водите заключения в предварителната оценка на въздействието, че предложените текстове не представляват допълнителна административна тежест, тъй като задължението се налага от Закона за ограничаване на изменението на климата (ЗОИК). Твърдението е само частично </w:t>
            </w:r>
            <w:r w:rsidRPr="002E3E2C">
              <w:rPr>
                <w:rFonts w:eastAsia="Calibri"/>
                <w:sz w:val="22"/>
                <w:szCs w:val="22"/>
                <w:lang w:eastAsia="en-US"/>
              </w:rPr>
              <w:lastRenderedPageBreak/>
              <w:t xml:space="preserve">вярно, тъй като Законът предвижда изискването, но детайлите относно приложението му са част от коментираните проектни текстове. А те </w:t>
            </w:r>
            <w:proofErr w:type="spellStart"/>
            <w:r w:rsidRPr="002E3E2C">
              <w:rPr>
                <w:rFonts w:eastAsia="Calibri"/>
                <w:bCs/>
                <w:sz w:val="22"/>
                <w:szCs w:val="22"/>
                <w:lang w:val="en-US" w:eastAsia="en-US"/>
              </w:rPr>
              <w:t>създават</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тежки</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процедури</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по</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издаване</w:t>
            </w:r>
            <w:proofErr w:type="spellEnd"/>
            <w:r w:rsidRPr="002E3E2C">
              <w:rPr>
                <w:rFonts w:eastAsia="Calibri"/>
                <w:bCs/>
                <w:sz w:val="22"/>
                <w:szCs w:val="22"/>
                <w:lang w:val="en-US" w:eastAsia="en-US"/>
              </w:rPr>
              <w:t xml:space="preserve"> и </w:t>
            </w:r>
            <w:proofErr w:type="spellStart"/>
            <w:r w:rsidRPr="002E3E2C">
              <w:rPr>
                <w:rFonts w:eastAsia="Calibri"/>
                <w:bCs/>
                <w:sz w:val="22"/>
                <w:szCs w:val="22"/>
                <w:lang w:val="en-US" w:eastAsia="en-US"/>
              </w:rPr>
              <w:t>промяна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на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разрешителните</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за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емисии</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което</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ще</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се</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отрази</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не</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само</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на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малките</w:t>
            </w:r>
            <w:proofErr w:type="spellEnd"/>
            <w:r w:rsidRPr="002E3E2C">
              <w:rPr>
                <w:rFonts w:eastAsia="Calibri"/>
                <w:bCs/>
                <w:sz w:val="22"/>
                <w:szCs w:val="22"/>
                <w:lang w:val="en-US" w:eastAsia="en-US"/>
              </w:rPr>
              <w:t xml:space="preserve"> и </w:t>
            </w:r>
            <w:proofErr w:type="spellStart"/>
            <w:r w:rsidRPr="002E3E2C">
              <w:rPr>
                <w:rFonts w:eastAsia="Calibri"/>
                <w:bCs/>
                <w:sz w:val="22"/>
                <w:szCs w:val="22"/>
                <w:lang w:val="en-US" w:eastAsia="en-US"/>
              </w:rPr>
              <w:t>средни</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предприятия</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но</w:t>
            </w:r>
            <w:proofErr w:type="spellEnd"/>
            <w:r w:rsidRPr="002E3E2C">
              <w:rPr>
                <w:rFonts w:eastAsia="Calibri"/>
                <w:bCs/>
                <w:sz w:val="22"/>
                <w:szCs w:val="22"/>
                <w:lang w:val="en-US" w:eastAsia="en-US"/>
              </w:rPr>
              <w:t xml:space="preserve"> и </w:t>
            </w:r>
            <w:proofErr w:type="spellStart"/>
            <w:r w:rsidRPr="002E3E2C">
              <w:rPr>
                <w:rFonts w:eastAsia="Calibri"/>
                <w:bCs/>
                <w:sz w:val="22"/>
                <w:szCs w:val="22"/>
                <w:lang w:val="en-US" w:eastAsia="en-US"/>
              </w:rPr>
              <w:t>на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сектора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като</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цяло</w:t>
            </w:r>
            <w:proofErr w:type="spellEnd"/>
            <w:r w:rsidRPr="002E3E2C">
              <w:rPr>
                <w:rFonts w:eastAsia="Calibri"/>
                <w:bCs/>
                <w:sz w:val="22"/>
                <w:szCs w:val="22"/>
                <w:lang w:val="en-US" w:eastAsia="en-US"/>
              </w:rPr>
              <w:t xml:space="preserve">. </w:t>
            </w:r>
            <w:r w:rsidRPr="002E3E2C">
              <w:rPr>
                <w:rFonts w:eastAsia="Calibri"/>
                <w:sz w:val="22"/>
                <w:szCs w:val="22"/>
                <w:lang w:eastAsia="en-US"/>
              </w:rPr>
              <w:t xml:space="preserve">Нека Ви припомня, че според ЗОИК данъчните складове за горива не могат да оперира без издадено разрешително, което на практика </w:t>
            </w:r>
            <w:proofErr w:type="spellStart"/>
            <w:r w:rsidRPr="002E3E2C">
              <w:rPr>
                <w:rFonts w:eastAsia="Calibri"/>
                <w:bCs/>
                <w:sz w:val="22"/>
                <w:szCs w:val="22"/>
                <w:lang w:val="en-US" w:eastAsia="en-US"/>
              </w:rPr>
              <w:t>създава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реалната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опасност</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дългите</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срокове</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за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издаване</w:t>
            </w:r>
            <w:proofErr w:type="spellEnd"/>
            <w:r w:rsidRPr="002E3E2C">
              <w:rPr>
                <w:rFonts w:eastAsia="Calibri"/>
                <w:bCs/>
                <w:sz w:val="22"/>
                <w:szCs w:val="22"/>
                <w:lang w:val="en-US" w:eastAsia="en-US"/>
              </w:rPr>
              <w:t xml:space="preserve"> и </w:t>
            </w:r>
            <w:proofErr w:type="spellStart"/>
            <w:r w:rsidRPr="002E3E2C">
              <w:rPr>
                <w:rFonts w:eastAsia="Calibri"/>
                <w:bCs/>
                <w:sz w:val="22"/>
                <w:szCs w:val="22"/>
                <w:lang w:val="en-US" w:eastAsia="en-US"/>
              </w:rPr>
              <w:t>промяна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на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документите</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да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доведат</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до</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прекратяване</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на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дейността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на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обектите</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Подобни</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решения</w:t>
            </w:r>
            <w:proofErr w:type="spellEnd"/>
            <w:r w:rsidRPr="002E3E2C">
              <w:rPr>
                <w:rFonts w:eastAsia="Calibri"/>
                <w:bCs/>
                <w:sz w:val="22"/>
                <w:szCs w:val="22"/>
                <w:lang w:val="en-US" w:eastAsia="en-US"/>
              </w:rPr>
              <w:t xml:space="preserve"> и </w:t>
            </w:r>
            <w:proofErr w:type="spellStart"/>
            <w:r w:rsidRPr="002E3E2C">
              <w:rPr>
                <w:rFonts w:eastAsia="Calibri"/>
                <w:bCs/>
                <w:sz w:val="22"/>
                <w:szCs w:val="22"/>
                <w:lang w:val="en-US" w:eastAsia="en-US"/>
              </w:rPr>
              <w:t>то</w:t>
            </w:r>
            <w:proofErr w:type="spellEnd"/>
            <w:r w:rsidRPr="002E3E2C">
              <w:rPr>
                <w:rFonts w:eastAsia="Calibri"/>
                <w:bCs/>
                <w:sz w:val="22"/>
                <w:szCs w:val="22"/>
                <w:lang w:val="en-US" w:eastAsia="en-US"/>
              </w:rPr>
              <w:t xml:space="preserve"> в </w:t>
            </w:r>
            <w:proofErr w:type="spellStart"/>
            <w:r w:rsidRPr="002E3E2C">
              <w:rPr>
                <w:rFonts w:eastAsia="Calibri"/>
                <w:bCs/>
                <w:sz w:val="22"/>
                <w:szCs w:val="22"/>
                <w:lang w:val="en-US" w:eastAsia="en-US"/>
              </w:rPr>
              <w:t>кризисни</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моменти</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като</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настоящия</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могат</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да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има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изключително</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сериозни</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последици</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за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сигурността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на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доставките</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на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горива</w:t>
            </w:r>
            <w:proofErr w:type="spellEnd"/>
            <w:r w:rsidRPr="002E3E2C">
              <w:rPr>
                <w:rFonts w:eastAsia="Calibri"/>
                <w:bCs/>
                <w:sz w:val="22"/>
                <w:szCs w:val="22"/>
                <w:lang w:val="en-US" w:eastAsia="en-US"/>
              </w:rPr>
              <w:t xml:space="preserve"> в </w:t>
            </w:r>
            <w:proofErr w:type="spellStart"/>
            <w:r w:rsidRPr="002E3E2C">
              <w:rPr>
                <w:rFonts w:eastAsia="Calibri"/>
                <w:bCs/>
                <w:sz w:val="22"/>
                <w:szCs w:val="22"/>
                <w:lang w:val="en-US" w:eastAsia="en-US"/>
              </w:rPr>
              <w:t>страната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Раздел</w:t>
            </w:r>
            <w:proofErr w:type="spellEnd"/>
            <w:r w:rsidRPr="002E3E2C">
              <w:rPr>
                <w:rFonts w:eastAsia="Calibri"/>
                <w:bCs/>
                <w:sz w:val="22"/>
                <w:szCs w:val="22"/>
                <w:lang w:val="en-US" w:eastAsia="en-US"/>
              </w:rPr>
              <w:t xml:space="preserve"> </w:t>
            </w:r>
            <w:r w:rsidRPr="002E3E2C">
              <w:rPr>
                <w:rFonts w:eastAsia="Calibri"/>
                <w:sz w:val="22"/>
                <w:szCs w:val="22"/>
                <w:lang w:eastAsia="en-US"/>
              </w:rPr>
              <w:t xml:space="preserve">VI6 </w:t>
            </w:r>
            <w:r w:rsidRPr="002E3E2C">
              <w:rPr>
                <w:rFonts w:eastAsia="Calibri"/>
                <w:bCs/>
                <w:sz w:val="22"/>
                <w:szCs w:val="22"/>
                <w:lang w:val="en-US" w:eastAsia="en-US"/>
              </w:rPr>
              <w:t xml:space="preserve">и </w:t>
            </w:r>
            <w:r w:rsidRPr="002E3E2C">
              <w:rPr>
                <w:rFonts w:eastAsia="Calibri"/>
                <w:sz w:val="22"/>
                <w:szCs w:val="22"/>
                <w:lang w:eastAsia="en-US"/>
              </w:rPr>
              <w:t xml:space="preserve">VII </w:t>
            </w:r>
            <w:proofErr w:type="spellStart"/>
            <w:r w:rsidRPr="002E3E2C">
              <w:rPr>
                <w:rFonts w:eastAsia="Calibri"/>
                <w:bCs/>
                <w:sz w:val="22"/>
                <w:szCs w:val="22"/>
                <w:lang w:val="en-US" w:eastAsia="en-US"/>
              </w:rPr>
              <w:t>от</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проекта</w:t>
            </w:r>
            <w:proofErr w:type="spellEnd"/>
            <w:r w:rsidRPr="002E3E2C">
              <w:rPr>
                <w:rFonts w:eastAsia="Calibri"/>
                <w:bCs/>
                <w:sz w:val="22"/>
                <w:szCs w:val="22"/>
                <w:lang w:val="en-US" w:eastAsia="en-US"/>
              </w:rPr>
              <w:t xml:space="preserve">). </w:t>
            </w:r>
            <w:r w:rsidRPr="002E3E2C">
              <w:rPr>
                <w:rFonts w:eastAsia="Calibri"/>
                <w:sz w:val="22"/>
                <w:szCs w:val="22"/>
                <w:lang w:eastAsia="en-US"/>
              </w:rPr>
              <w:t>В тази връзка е невярно и твърдението, вписано в оценката на въздействието, че „не съществуват потенциални рискове от прилагането на препоръчителния вариант".</w:t>
            </w:r>
          </w:p>
          <w:p w14:paraId="59DC0674" w14:textId="77777777" w:rsidR="002E3E2C" w:rsidRPr="002E3E2C" w:rsidRDefault="002E3E2C" w:rsidP="002E3E2C">
            <w:pPr>
              <w:spacing w:before="200" w:after="200" w:line="276" w:lineRule="auto"/>
              <w:ind w:firstLine="0"/>
              <w:rPr>
                <w:rFonts w:eastAsia="Calibri"/>
                <w:sz w:val="22"/>
                <w:szCs w:val="22"/>
                <w:lang w:eastAsia="en-US"/>
              </w:rPr>
            </w:pPr>
            <w:r w:rsidRPr="002E3E2C">
              <w:rPr>
                <w:rFonts w:eastAsia="Calibri"/>
                <w:sz w:val="22"/>
                <w:szCs w:val="22"/>
                <w:lang w:eastAsia="en-US"/>
              </w:rPr>
              <w:t xml:space="preserve">Необходима е много по-съкратена, като срокове, процедура, която не се формализира прекалено, а е насочена към запазване на дейността на операторите; към бързото им административно обслужване и към краен резултат, </w:t>
            </w:r>
            <w:proofErr w:type="spellStart"/>
            <w:r w:rsidRPr="002E3E2C">
              <w:rPr>
                <w:rFonts w:eastAsia="Calibri"/>
                <w:sz w:val="22"/>
                <w:szCs w:val="22"/>
                <w:lang w:eastAsia="en-US"/>
              </w:rPr>
              <w:t>незастрашаващ</w:t>
            </w:r>
            <w:proofErr w:type="spellEnd"/>
            <w:r w:rsidRPr="002E3E2C">
              <w:rPr>
                <w:rFonts w:eastAsia="Calibri"/>
                <w:sz w:val="22"/>
                <w:szCs w:val="22"/>
                <w:lang w:eastAsia="en-US"/>
              </w:rPr>
              <w:t xml:space="preserve"> </w:t>
            </w:r>
            <w:r w:rsidRPr="002E3E2C">
              <w:rPr>
                <w:rFonts w:eastAsia="Calibri"/>
                <w:sz w:val="22"/>
                <w:szCs w:val="22"/>
                <w:lang w:eastAsia="en-US"/>
              </w:rPr>
              <w:lastRenderedPageBreak/>
              <w:t xml:space="preserve">енергийните доставки. В този смисъл горепосочените два раздела следва да бъдат цялостно преработени с участието на представители на индустриите, засегнати от прилагането на подзаконовите нормативни актове. </w:t>
            </w:r>
            <w:proofErr w:type="spellStart"/>
            <w:r w:rsidRPr="002E3E2C">
              <w:rPr>
                <w:rFonts w:eastAsia="Calibri"/>
                <w:bCs/>
                <w:sz w:val="22"/>
                <w:szCs w:val="22"/>
                <w:lang w:val="en-US" w:eastAsia="en-US"/>
              </w:rPr>
              <w:t>Създаването</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на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работна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група</w:t>
            </w:r>
            <w:proofErr w:type="spellEnd"/>
            <w:r w:rsidRPr="002E3E2C">
              <w:rPr>
                <w:rFonts w:eastAsia="Calibri"/>
                <w:bCs/>
                <w:sz w:val="22"/>
                <w:szCs w:val="22"/>
                <w:lang w:val="en-US" w:eastAsia="en-US"/>
              </w:rPr>
              <w:t xml:space="preserve">, с </w:t>
            </w:r>
            <w:proofErr w:type="spellStart"/>
            <w:r w:rsidRPr="002E3E2C">
              <w:rPr>
                <w:rFonts w:eastAsia="Calibri"/>
                <w:bCs/>
                <w:sz w:val="22"/>
                <w:szCs w:val="22"/>
                <w:lang w:val="en-US" w:eastAsia="en-US"/>
              </w:rPr>
              <w:t>цел</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изготвянето</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на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работещи</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текстове</w:t>
            </w:r>
            <w:proofErr w:type="spellEnd"/>
            <w:r w:rsidRPr="002E3E2C">
              <w:rPr>
                <w:rFonts w:eastAsia="Calibri"/>
                <w:bCs/>
                <w:sz w:val="22"/>
                <w:szCs w:val="22"/>
                <w:lang w:val="en-US" w:eastAsia="en-US"/>
              </w:rPr>
              <w:t xml:space="preserve">, е </w:t>
            </w:r>
            <w:proofErr w:type="spellStart"/>
            <w:r w:rsidRPr="002E3E2C">
              <w:rPr>
                <w:rFonts w:eastAsia="Calibri"/>
                <w:bCs/>
                <w:sz w:val="22"/>
                <w:szCs w:val="22"/>
                <w:lang w:val="en-US" w:eastAsia="en-US"/>
              </w:rPr>
              <w:t>добра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практика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която</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за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съжаление</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не</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се</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използва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от</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администрацията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пълноценно</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през</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последните</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години</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Това</w:t>
            </w:r>
            <w:proofErr w:type="spellEnd"/>
            <w:r w:rsidRPr="002E3E2C">
              <w:rPr>
                <w:rFonts w:eastAsia="Calibri"/>
                <w:bCs/>
                <w:sz w:val="22"/>
                <w:szCs w:val="22"/>
                <w:lang w:val="en-US" w:eastAsia="en-US"/>
              </w:rPr>
              <w:t xml:space="preserve"> е </w:t>
            </w:r>
            <w:proofErr w:type="spellStart"/>
            <w:r w:rsidRPr="002E3E2C">
              <w:rPr>
                <w:rFonts w:eastAsia="Calibri"/>
                <w:bCs/>
                <w:sz w:val="22"/>
                <w:szCs w:val="22"/>
                <w:lang w:val="en-US" w:eastAsia="en-US"/>
              </w:rPr>
              <w:t>отбелязано</w:t>
            </w:r>
            <w:proofErr w:type="spellEnd"/>
            <w:r w:rsidRPr="002E3E2C">
              <w:rPr>
                <w:rFonts w:eastAsia="Calibri"/>
                <w:bCs/>
                <w:sz w:val="22"/>
                <w:szCs w:val="22"/>
                <w:lang w:val="en-US" w:eastAsia="en-US"/>
              </w:rPr>
              <w:t xml:space="preserve"> и в </w:t>
            </w:r>
            <w:proofErr w:type="spellStart"/>
            <w:r w:rsidRPr="002E3E2C">
              <w:rPr>
                <w:rFonts w:eastAsia="Calibri"/>
                <w:bCs/>
                <w:sz w:val="22"/>
                <w:szCs w:val="22"/>
                <w:lang w:val="en-US" w:eastAsia="en-US"/>
              </w:rPr>
              <w:t>самата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оценка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на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въздействието</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която</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ясно</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посочва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че</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консултации</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по</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текстовете</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не</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са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проведени</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извън</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общественото</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обсъждане</w:t>
            </w:r>
            <w:proofErr w:type="spellEnd"/>
            <w:r w:rsidRPr="002E3E2C">
              <w:rPr>
                <w:rFonts w:eastAsia="Calibri"/>
                <w:bCs/>
                <w:sz w:val="22"/>
                <w:szCs w:val="22"/>
                <w:lang w:val="en-US" w:eastAsia="en-US"/>
              </w:rPr>
              <w:t>.</w:t>
            </w:r>
          </w:p>
          <w:p w14:paraId="68F06329" w14:textId="77777777" w:rsidR="002E3E2C" w:rsidRPr="002E3E2C" w:rsidRDefault="002E3E2C" w:rsidP="002E3E2C">
            <w:pPr>
              <w:spacing w:before="200" w:after="200" w:line="276" w:lineRule="auto"/>
              <w:ind w:firstLine="0"/>
              <w:rPr>
                <w:rFonts w:eastAsia="Calibri"/>
                <w:sz w:val="22"/>
                <w:szCs w:val="22"/>
                <w:lang w:eastAsia="en-US"/>
              </w:rPr>
            </w:pPr>
            <w:r w:rsidRPr="002E3E2C">
              <w:rPr>
                <w:rFonts w:eastAsia="Calibri"/>
                <w:sz w:val="22"/>
                <w:szCs w:val="22"/>
                <w:lang w:eastAsia="en-US"/>
              </w:rPr>
              <w:t xml:space="preserve">На следващо място, не можем да се съгласим и с констатациите на МОСВ, че с текстовете не се създават </w:t>
            </w:r>
            <w:proofErr w:type="spellStart"/>
            <w:r w:rsidRPr="002E3E2C">
              <w:rPr>
                <w:rFonts w:eastAsia="Calibri"/>
                <w:bCs/>
                <w:sz w:val="22"/>
                <w:szCs w:val="22"/>
                <w:lang w:val="en-US" w:eastAsia="en-US"/>
              </w:rPr>
              <w:t>нови</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регулаторни</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режими</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тъй</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като</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именно</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те</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са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основа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на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проектни</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текстове</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засягащи</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изцяло</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нова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група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икономически</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оператори</w:t>
            </w:r>
            <w:proofErr w:type="spellEnd"/>
            <w:r w:rsidRPr="002E3E2C">
              <w:rPr>
                <w:rFonts w:eastAsia="Calibri"/>
                <w:bCs/>
                <w:sz w:val="22"/>
                <w:szCs w:val="22"/>
                <w:lang w:val="en-US" w:eastAsia="en-US"/>
              </w:rPr>
              <w:t xml:space="preserve">, а </w:t>
            </w:r>
            <w:proofErr w:type="spellStart"/>
            <w:r w:rsidRPr="002E3E2C">
              <w:rPr>
                <w:rFonts w:eastAsia="Calibri"/>
                <w:bCs/>
                <w:sz w:val="22"/>
                <w:szCs w:val="22"/>
                <w:lang w:val="en-US" w:eastAsia="en-US"/>
              </w:rPr>
              <w:t>именно</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данъчните</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складове</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освобождаващи</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горива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за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потребление</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по</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смисъла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на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Закона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за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акцизите</w:t>
            </w:r>
            <w:proofErr w:type="spellEnd"/>
            <w:r w:rsidRPr="002E3E2C">
              <w:rPr>
                <w:rFonts w:eastAsia="Calibri"/>
                <w:bCs/>
                <w:sz w:val="22"/>
                <w:szCs w:val="22"/>
                <w:lang w:val="en-US" w:eastAsia="en-US"/>
              </w:rPr>
              <w:t xml:space="preserve"> и </w:t>
            </w:r>
            <w:proofErr w:type="spellStart"/>
            <w:r w:rsidRPr="002E3E2C">
              <w:rPr>
                <w:rFonts w:eastAsia="Calibri"/>
                <w:bCs/>
                <w:sz w:val="22"/>
                <w:szCs w:val="22"/>
                <w:lang w:val="en-US" w:eastAsia="en-US"/>
              </w:rPr>
              <w:t>данъчните</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складове</w:t>
            </w:r>
            <w:proofErr w:type="spellEnd"/>
            <w:r w:rsidRPr="002E3E2C">
              <w:rPr>
                <w:rFonts w:eastAsia="Calibri"/>
                <w:bCs/>
                <w:sz w:val="22"/>
                <w:szCs w:val="22"/>
                <w:lang w:val="en-US" w:eastAsia="en-US"/>
              </w:rPr>
              <w:t xml:space="preserve"> (ЗАДС). </w:t>
            </w:r>
            <w:r w:rsidRPr="002E3E2C">
              <w:rPr>
                <w:rFonts w:eastAsia="Calibri"/>
                <w:sz w:val="22"/>
                <w:szCs w:val="22"/>
                <w:lang w:eastAsia="en-US"/>
              </w:rPr>
              <w:t xml:space="preserve">Тази констатация е направена и от правната администрация на Министерския съвет, видно от приложените документи в линка на ОК. В тази връзка още по-наложително е проектите да се съпътстват от всеобхватна оценка на въздействието, нещо което не </w:t>
            </w:r>
            <w:r w:rsidRPr="002E3E2C">
              <w:rPr>
                <w:rFonts w:eastAsia="Calibri"/>
                <w:sz w:val="22"/>
                <w:szCs w:val="22"/>
                <w:lang w:eastAsia="en-US"/>
              </w:rPr>
              <w:lastRenderedPageBreak/>
              <w:t>само не е направено формално, но е и тотално отхвърлено от МОСВ.</w:t>
            </w:r>
          </w:p>
          <w:p w14:paraId="6918FF9F" w14:textId="77777777" w:rsidR="002E3E2C" w:rsidRPr="002E3E2C" w:rsidRDefault="002E3E2C" w:rsidP="002E3E2C">
            <w:pPr>
              <w:spacing w:before="200" w:after="200" w:line="276" w:lineRule="auto"/>
              <w:ind w:firstLine="0"/>
              <w:rPr>
                <w:rFonts w:eastAsia="Calibri"/>
                <w:sz w:val="22"/>
                <w:szCs w:val="22"/>
                <w:lang w:eastAsia="en-US"/>
              </w:rPr>
            </w:pPr>
            <w:r w:rsidRPr="002E3E2C">
              <w:rPr>
                <w:rFonts w:eastAsia="Calibri"/>
                <w:sz w:val="22"/>
                <w:szCs w:val="22"/>
                <w:lang w:eastAsia="en-US"/>
              </w:rPr>
              <w:t xml:space="preserve">Създаденото задължение за изготвяне, верифициране (от независим верифициращ орган) и предоставяне пред компетентния орган на годишен доклад за данните от мониторинга на ЕПГ и прехвърляне, отмяна и предаване на квоти (за всяка година) е още едно от изискване, което следва да бъде преразгледано и според БПГА отхвърлено към настоящия момент. Причината е, че представлява сериозен финансов и административен разход, дори за дружества с големи обеми на продажбите. Нещо повече все още няма </w:t>
            </w:r>
            <w:proofErr w:type="spellStart"/>
            <w:r w:rsidRPr="002E3E2C">
              <w:rPr>
                <w:rFonts w:eastAsia="Calibri"/>
                <w:sz w:val="22"/>
                <w:szCs w:val="22"/>
                <w:lang w:eastAsia="en-US"/>
              </w:rPr>
              <w:t>верификатори</w:t>
            </w:r>
            <w:proofErr w:type="spellEnd"/>
            <w:r w:rsidRPr="002E3E2C">
              <w:rPr>
                <w:rFonts w:eastAsia="Calibri"/>
                <w:sz w:val="22"/>
                <w:szCs w:val="22"/>
                <w:lang w:eastAsia="en-US"/>
              </w:rPr>
              <w:t>, които да отговарят на изискванията за проверка на оператори, попадащи в СТЕ 2. И не на последно място: с отлагането на прилагането на СТЕ 2 до 2028г., предаването на подобен верифициран доклад е абсолютно неоправдано в следващите две години - 2026 г. и 2027г.</w:t>
            </w:r>
          </w:p>
          <w:p w14:paraId="7F136DE5" w14:textId="77777777" w:rsidR="002E3E2C" w:rsidRPr="002E3E2C" w:rsidRDefault="002E3E2C" w:rsidP="002E3E2C">
            <w:pPr>
              <w:spacing w:before="200" w:after="200" w:line="276" w:lineRule="auto"/>
              <w:ind w:firstLine="0"/>
              <w:rPr>
                <w:rFonts w:eastAsia="Calibri"/>
                <w:sz w:val="22"/>
                <w:szCs w:val="22"/>
                <w:lang w:eastAsia="en-US"/>
              </w:rPr>
            </w:pPr>
            <w:bookmarkStart w:id="1" w:name="bookmark0"/>
            <w:r w:rsidRPr="002E3E2C">
              <w:rPr>
                <w:rFonts w:eastAsia="Calibri"/>
                <w:sz w:val="22"/>
                <w:szCs w:val="22"/>
                <w:lang w:eastAsia="en-US"/>
              </w:rPr>
              <w:t>Напълно съм съгласен с констатациите на администрацията на Министерски съвет относно необходимостта от активно участие в процесите на Агенция „Митници".</w:t>
            </w:r>
            <w:bookmarkEnd w:id="1"/>
          </w:p>
          <w:p w14:paraId="276BE30D" w14:textId="77777777" w:rsidR="002E3E2C" w:rsidRPr="002E3E2C" w:rsidRDefault="002E3E2C" w:rsidP="002E3E2C">
            <w:pPr>
              <w:spacing w:before="200" w:after="200" w:line="276" w:lineRule="auto"/>
              <w:ind w:firstLine="0"/>
              <w:rPr>
                <w:rFonts w:eastAsia="Calibri"/>
                <w:sz w:val="22"/>
                <w:szCs w:val="22"/>
                <w:lang w:eastAsia="en-US"/>
              </w:rPr>
            </w:pPr>
            <w:r w:rsidRPr="002E3E2C">
              <w:rPr>
                <w:rFonts w:eastAsia="Calibri"/>
                <w:sz w:val="22"/>
                <w:szCs w:val="22"/>
                <w:lang w:eastAsia="en-US"/>
              </w:rPr>
              <w:t xml:space="preserve">Без яснота в МОСВ относно точния брой на задължените лица, без категоричното им </w:t>
            </w:r>
            <w:r w:rsidRPr="002E3E2C">
              <w:rPr>
                <w:rFonts w:eastAsia="Calibri"/>
                <w:sz w:val="22"/>
                <w:szCs w:val="22"/>
                <w:lang w:eastAsia="en-US"/>
              </w:rPr>
              <w:lastRenderedPageBreak/>
              <w:t>идентифициране, евентуалното прилагане на СТЕ 2 ще е просто задължение за определени икономически оператори, които оперират в рамките на законовите изисквания, дори когато те са изключително спорни и натоварващи за бизнеса. Множество от по-малките данъчни складове или няма да се съобразят с схемата, или просто не са информирани за нея. Ако това остане в подобен вид, те ще бъдат практически извън мярката, с всички последствия за пазара и конкурентните проблеми, което това би довело. Разбира се съвсем отделен е въпросът, че приетото законодателство им дава избор или да преминат в сивия сектор, или да приключат дейността си, тъй като прилагането на схемата в нейната цялост не е по силите на по- малки предприятия.</w:t>
            </w:r>
          </w:p>
          <w:p w14:paraId="70F2431C" w14:textId="77777777" w:rsidR="002E3E2C" w:rsidRPr="002E3E2C" w:rsidRDefault="002E3E2C" w:rsidP="002E3E2C">
            <w:pPr>
              <w:spacing w:before="200" w:after="200" w:line="276" w:lineRule="auto"/>
              <w:ind w:firstLine="0"/>
              <w:rPr>
                <w:rFonts w:eastAsia="Calibri"/>
                <w:sz w:val="22"/>
                <w:szCs w:val="22"/>
                <w:lang w:eastAsia="en-US"/>
              </w:rPr>
            </w:pPr>
            <w:r w:rsidRPr="002E3E2C">
              <w:rPr>
                <w:rFonts w:eastAsia="Calibri"/>
                <w:sz w:val="22"/>
                <w:szCs w:val="22"/>
                <w:lang w:eastAsia="en-US"/>
              </w:rPr>
              <w:t xml:space="preserve">Съвсем накрая, за да подчертая необходимостта от цялостна преработка на проектните текстове, ще спомена изискването за подаване на данни. То следва да се извършва на хартиен и електронен носител, като се дава приоритет на хартията- практика от отминали времена, още повече с оглед обема на информация, който се изисква да бъде представен. Посочените проектни текстове следва да бъдат напълно изменени, като изискваните данни да се </w:t>
            </w:r>
            <w:r w:rsidRPr="002E3E2C">
              <w:rPr>
                <w:rFonts w:eastAsia="Calibri"/>
                <w:sz w:val="22"/>
                <w:szCs w:val="22"/>
                <w:lang w:eastAsia="en-US"/>
              </w:rPr>
              <w:lastRenderedPageBreak/>
              <w:t>предоставят единствено в електронен вариант, подписани от компетентните лица.</w:t>
            </w:r>
          </w:p>
          <w:p w14:paraId="19057DC3" w14:textId="77777777" w:rsidR="002E3E2C" w:rsidRPr="002E3E2C" w:rsidRDefault="002E3E2C" w:rsidP="002E3E2C">
            <w:pPr>
              <w:spacing w:before="200" w:after="200" w:line="276" w:lineRule="auto"/>
              <w:ind w:firstLine="0"/>
              <w:rPr>
                <w:rFonts w:eastAsia="Calibri"/>
                <w:sz w:val="22"/>
                <w:szCs w:val="22"/>
                <w:lang w:eastAsia="en-US"/>
              </w:rPr>
            </w:pPr>
            <w:bookmarkStart w:id="2" w:name="bookmark1"/>
            <w:r w:rsidRPr="002E3E2C">
              <w:rPr>
                <w:rFonts w:eastAsia="Calibri"/>
                <w:sz w:val="22"/>
                <w:szCs w:val="22"/>
                <w:lang w:eastAsia="en-US"/>
              </w:rPr>
              <w:t>УВАЖАЕМИ Г-Н МИНИСТЪР -ПРЕДСЕДАТЕЛ,</w:t>
            </w:r>
            <w:bookmarkEnd w:id="2"/>
          </w:p>
          <w:p w14:paraId="02B66D99" w14:textId="77777777" w:rsidR="002E3E2C" w:rsidRPr="002E3E2C" w:rsidRDefault="002E3E2C" w:rsidP="002E3E2C">
            <w:pPr>
              <w:spacing w:before="200" w:after="200" w:line="276" w:lineRule="auto"/>
              <w:ind w:firstLine="0"/>
              <w:rPr>
                <w:rFonts w:eastAsia="Calibri"/>
                <w:sz w:val="22"/>
                <w:szCs w:val="22"/>
                <w:lang w:eastAsia="en-US"/>
              </w:rPr>
            </w:pPr>
            <w:r w:rsidRPr="002E3E2C">
              <w:rPr>
                <w:rFonts w:eastAsia="Calibri"/>
                <w:sz w:val="22"/>
                <w:szCs w:val="22"/>
                <w:lang w:eastAsia="en-US"/>
              </w:rPr>
              <w:t xml:space="preserve">Във връзка с гореизложеното БПГА счита, че проектните текстове не следва да се приемат, а е необходимо да бъдат върнати за допълнителна преработка и за консултации със задължените лица и други компетентни администрации. От представеното, в рамките на обществено обсъждане, става ясно, че проектите не </w:t>
            </w:r>
            <w:proofErr w:type="spellStart"/>
            <w:r w:rsidRPr="002E3E2C">
              <w:rPr>
                <w:rFonts w:eastAsia="Calibri"/>
                <w:sz w:val="22"/>
                <w:szCs w:val="22"/>
                <w:lang w:eastAsia="en-US"/>
              </w:rPr>
              <w:t>саобсъдени</w:t>
            </w:r>
            <w:proofErr w:type="spellEnd"/>
            <w:r w:rsidRPr="002E3E2C">
              <w:rPr>
                <w:rFonts w:eastAsia="Calibri"/>
                <w:sz w:val="22"/>
                <w:szCs w:val="22"/>
                <w:lang w:eastAsia="en-US"/>
              </w:rPr>
              <w:t xml:space="preserve"> нито с индустриите, нито с други компетентни държавни органи ( Агенция „Митници", Министерство на икономиката и индустрията, Министерство на енергетиката). </w:t>
            </w:r>
            <w:r w:rsidRPr="002E3E2C">
              <w:rPr>
                <w:rFonts w:eastAsia="Calibri"/>
                <w:bCs/>
                <w:sz w:val="22"/>
                <w:szCs w:val="22"/>
                <w:lang w:val="en-US" w:eastAsia="en-US"/>
              </w:rPr>
              <w:t xml:space="preserve">В </w:t>
            </w:r>
            <w:proofErr w:type="spellStart"/>
            <w:r w:rsidRPr="002E3E2C">
              <w:rPr>
                <w:rFonts w:eastAsia="Calibri"/>
                <w:bCs/>
                <w:sz w:val="22"/>
                <w:szCs w:val="22"/>
                <w:lang w:val="en-US" w:eastAsia="en-US"/>
              </w:rPr>
              <w:t>допълнение</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отлагането</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на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схемата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до</w:t>
            </w:r>
            <w:proofErr w:type="spellEnd"/>
            <w:r w:rsidRPr="002E3E2C">
              <w:rPr>
                <w:rFonts w:eastAsia="Calibri"/>
                <w:bCs/>
                <w:sz w:val="22"/>
                <w:szCs w:val="22"/>
                <w:lang w:val="en-US" w:eastAsia="en-US"/>
              </w:rPr>
              <w:t xml:space="preserve"> 2028г. </w:t>
            </w:r>
            <w:proofErr w:type="spellStart"/>
            <w:proofErr w:type="gramStart"/>
            <w:r w:rsidRPr="002E3E2C">
              <w:rPr>
                <w:rFonts w:eastAsia="Calibri"/>
                <w:bCs/>
                <w:sz w:val="22"/>
                <w:szCs w:val="22"/>
                <w:lang w:val="en-US" w:eastAsia="en-US"/>
              </w:rPr>
              <w:t>дава</w:t>
            </w:r>
            <w:proofErr w:type="spellEnd"/>
            <w:proofErr w:type="gram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възможност</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за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корекция</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на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предлаганите</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подзаконови</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нормативни</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актове</w:t>
            </w:r>
            <w:proofErr w:type="spellEnd"/>
            <w:r w:rsidRPr="002E3E2C">
              <w:rPr>
                <w:rFonts w:eastAsia="Calibri"/>
                <w:bCs/>
                <w:sz w:val="22"/>
                <w:szCs w:val="22"/>
                <w:lang w:val="en-US" w:eastAsia="en-US"/>
              </w:rPr>
              <w:t xml:space="preserve"> в </w:t>
            </w:r>
            <w:proofErr w:type="spellStart"/>
            <w:r w:rsidRPr="002E3E2C">
              <w:rPr>
                <w:rFonts w:eastAsia="Calibri"/>
                <w:bCs/>
                <w:sz w:val="22"/>
                <w:szCs w:val="22"/>
                <w:lang w:val="en-US" w:eastAsia="en-US"/>
              </w:rPr>
              <w:t>следващите</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месеци</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така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че</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да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не</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се</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създават</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излишни</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административни</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пречки</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пред</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дейността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на</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икономическите</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оператори</w:t>
            </w:r>
            <w:proofErr w:type="spellEnd"/>
            <w:r w:rsidRPr="002E3E2C">
              <w:rPr>
                <w:rFonts w:eastAsia="Calibri"/>
                <w:bCs/>
                <w:sz w:val="22"/>
                <w:szCs w:val="22"/>
                <w:lang w:val="en-US" w:eastAsia="en-US"/>
              </w:rPr>
              <w:t xml:space="preserve"> в </w:t>
            </w:r>
            <w:proofErr w:type="spellStart"/>
            <w:r w:rsidRPr="002E3E2C">
              <w:rPr>
                <w:rFonts w:eastAsia="Calibri"/>
                <w:bCs/>
                <w:sz w:val="22"/>
                <w:szCs w:val="22"/>
                <w:lang w:val="en-US" w:eastAsia="en-US"/>
              </w:rPr>
              <w:t>следващите</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две</w:t>
            </w:r>
            <w:proofErr w:type="spellEnd"/>
            <w:r w:rsidRPr="002E3E2C">
              <w:rPr>
                <w:rFonts w:eastAsia="Calibri"/>
                <w:bCs/>
                <w:sz w:val="22"/>
                <w:szCs w:val="22"/>
                <w:lang w:val="en-US" w:eastAsia="en-US"/>
              </w:rPr>
              <w:t xml:space="preserve"> </w:t>
            </w:r>
            <w:proofErr w:type="spellStart"/>
            <w:r w:rsidRPr="002E3E2C">
              <w:rPr>
                <w:rFonts w:eastAsia="Calibri"/>
                <w:bCs/>
                <w:sz w:val="22"/>
                <w:szCs w:val="22"/>
                <w:lang w:val="en-US" w:eastAsia="en-US"/>
              </w:rPr>
              <w:t>години</w:t>
            </w:r>
            <w:proofErr w:type="spellEnd"/>
            <w:r w:rsidRPr="002E3E2C">
              <w:rPr>
                <w:rFonts w:eastAsia="Calibri"/>
                <w:bCs/>
                <w:sz w:val="22"/>
                <w:szCs w:val="22"/>
                <w:lang w:val="en-US" w:eastAsia="en-US"/>
              </w:rPr>
              <w:t xml:space="preserve">. </w:t>
            </w:r>
            <w:r w:rsidRPr="002E3E2C">
              <w:rPr>
                <w:rFonts w:eastAsia="Calibri"/>
                <w:sz w:val="22"/>
                <w:szCs w:val="22"/>
                <w:lang w:eastAsia="en-US"/>
              </w:rPr>
              <w:t xml:space="preserve">Не на последно място в измененията е необходимо да бъдат включени модерни административни процедури, които да направят процесите по издаване и промяна на разрешителните за емисии достъпни за всички засегнати лица и </w:t>
            </w:r>
            <w:r w:rsidRPr="002E3E2C">
              <w:rPr>
                <w:rFonts w:eastAsia="Calibri"/>
                <w:sz w:val="22"/>
                <w:szCs w:val="22"/>
                <w:lang w:eastAsia="en-US"/>
              </w:rPr>
              <w:lastRenderedPageBreak/>
              <w:t>да са истинска административна услуга, а не допълнително натоварване (поне що се отнася до нормите, зависещи от българското законодателство).</w:t>
            </w:r>
          </w:p>
          <w:p w14:paraId="2B972C33" w14:textId="77777777" w:rsidR="002E3E2C" w:rsidRPr="002E3E2C" w:rsidRDefault="002E3E2C" w:rsidP="002E3E2C">
            <w:pPr>
              <w:spacing w:before="200" w:after="200" w:line="276" w:lineRule="auto"/>
              <w:ind w:firstLine="0"/>
              <w:rPr>
                <w:rFonts w:eastAsia="Calibri"/>
                <w:sz w:val="22"/>
                <w:szCs w:val="22"/>
                <w:lang w:eastAsia="en-US"/>
              </w:rPr>
            </w:pPr>
            <w:r w:rsidRPr="002E3E2C">
              <w:rPr>
                <w:rFonts w:eastAsia="Calibri"/>
                <w:sz w:val="22"/>
                <w:szCs w:val="22"/>
                <w:lang w:eastAsia="en-US"/>
              </w:rPr>
              <w:t>Бих искал да завърша с това, с което започнах, а именно, че проектните текстове поставят цялостно въпроса за целесъобразността по прилагането на СТЕ 2 в Република България, с оглед на факта, че подобна стъпка ще доведе единствено до рязко повишение на цените на горивата. В тази връзка БПГА е готова за експертни дискусии по темата във възможно най-кратки срокове, ставам на Ваше разположение за експертна дискусия, по предложените мерки, в най-кратки срокове.</w:t>
            </w:r>
          </w:p>
          <w:p w14:paraId="3F77D457" w14:textId="7BEE1130" w:rsidR="002E3E2C" w:rsidRPr="00F56999" w:rsidRDefault="002E3E2C" w:rsidP="0032403B">
            <w:pPr>
              <w:tabs>
                <w:tab w:val="left" w:pos="1020"/>
                <w:tab w:val="left" w:pos="1230"/>
              </w:tabs>
              <w:spacing w:line="240" w:lineRule="auto"/>
              <w:jc w:val="left"/>
              <w:rPr>
                <w:b/>
                <w:sz w:val="20"/>
                <w:szCs w:val="20"/>
              </w:rPr>
            </w:pPr>
            <w:r w:rsidRPr="00F56999">
              <w:rPr>
                <w:b/>
                <w:sz w:val="20"/>
                <w:szCs w:val="20"/>
              </w:rPr>
              <w:t xml:space="preserve"> </w:t>
            </w:r>
          </w:p>
        </w:tc>
        <w:tc>
          <w:tcPr>
            <w:tcW w:w="1701" w:type="dxa"/>
            <w:tcBorders>
              <w:top w:val="single" w:sz="24" w:space="0" w:color="auto"/>
            </w:tcBorders>
            <w:shd w:val="clear" w:color="auto" w:fill="auto"/>
            <w:vAlign w:val="center"/>
          </w:tcPr>
          <w:p w14:paraId="7319DB61" w14:textId="30DE82EF" w:rsidR="002E3E2C" w:rsidRPr="00F56999" w:rsidRDefault="00B04490" w:rsidP="00B04490">
            <w:pPr>
              <w:tabs>
                <w:tab w:val="left" w:pos="1020"/>
                <w:tab w:val="left" w:pos="1230"/>
              </w:tabs>
              <w:spacing w:line="240" w:lineRule="auto"/>
              <w:ind w:firstLine="0"/>
              <w:jc w:val="left"/>
              <w:rPr>
                <w:b/>
                <w:sz w:val="20"/>
                <w:szCs w:val="20"/>
              </w:rPr>
            </w:pPr>
            <w:r w:rsidRPr="00B04490">
              <w:rPr>
                <w:b/>
                <w:sz w:val="20"/>
                <w:szCs w:val="20"/>
              </w:rPr>
              <w:lastRenderedPageBreak/>
              <w:t xml:space="preserve">Не се приема като </w:t>
            </w:r>
            <w:proofErr w:type="spellStart"/>
            <w:r w:rsidRPr="00B04490">
              <w:rPr>
                <w:b/>
                <w:sz w:val="20"/>
                <w:szCs w:val="20"/>
              </w:rPr>
              <w:t>относимо</w:t>
            </w:r>
            <w:proofErr w:type="spellEnd"/>
            <w:r w:rsidRPr="00B04490">
              <w:rPr>
                <w:b/>
                <w:sz w:val="20"/>
                <w:szCs w:val="20"/>
              </w:rPr>
              <w:t xml:space="preserve"> към настоящия проект на акт, но изложеното становище ще бъде взето предвид при бъдещи преговори на европейско ниво </w:t>
            </w:r>
            <w:r>
              <w:rPr>
                <w:b/>
                <w:sz w:val="20"/>
                <w:szCs w:val="20"/>
              </w:rPr>
              <w:t>по</w:t>
            </w:r>
            <w:r w:rsidRPr="00B04490">
              <w:rPr>
                <w:b/>
                <w:sz w:val="20"/>
                <w:szCs w:val="20"/>
              </w:rPr>
              <w:t xml:space="preserve"> СТЕ 2.</w:t>
            </w:r>
          </w:p>
        </w:tc>
        <w:tc>
          <w:tcPr>
            <w:tcW w:w="3788" w:type="dxa"/>
            <w:tcBorders>
              <w:top w:val="single" w:sz="24" w:space="0" w:color="auto"/>
              <w:right w:val="single" w:sz="24" w:space="0" w:color="auto"/>
            </w:tcBorders>
            <w:shd w:val="clear" w:color="auto" w:fill="auto"/>
            <w:vAlign w:val="center"/>
          </w:tcPr>
          <w:p w14:paraId="58045B5F" w14:textId="77777777" w:rsidR="002E3E2C" w:rsidRPr="002E3E2C" w:rsidRDefault="002E3E2C" w:rsidP="002E3E2C">
            <w:pPr>
              <w:spacing w:before="200" w:after="200" w:line="276" w:lineRule="auto"/>
              <w:ind w:firstLine="0"/>
              <w:rPr>
                <w:rFonts w:eastAsia="Calibri"/>
                <w:sz w:val="22"/>
                <w:szCs w:val="22"/>
                <w:lang w:eastAsia="en-US"/>
              </w:rPr>
            </w:pPr>
            <w:r w:rsidRPr="002E3E2C">
              <w:rPr>
                <w:rFonts w:eastAsia="Calibri"/>
                <w:sz w:val="22"/>
                <w:szCs w:val="22"/>
                <w:lang w:eastAsia="en-US"/>
              </w:rPr>
              <w:t>СТЕ 2 вече е въведена в българското законодателство със Закона за ограничаване изменението на климата (ЗОИК) (</w:t>
            </w:r>
            <w:proofErr w:type="spellStart"/>
            <w:r w:rsidRPr="002E3E2C">
              <w:rPr>
                <w:rFonts w:eastAsia="Calibri"/>
                <w:sz w:val="22"/>
                <w:szCs w:val="22"/>
                <w:lang w:eastAsia="en-US"/>
              </w:rPr>
              <w:t>обн</w:t>
            </w:r>
            <w:proofErr w:type="spellEnd"/>
            <w:r w:rsidRPr="002E3E2C">
              <w:rPr>
                <w:rFonts w:eastAsia="Calibri"/>
                <w:sz w:val="22"/>
                <w:szCs w:val="22"/>
                <w:lang w:eastAsia="en-US"/>
              </w:rPr>
              <w:t xml:space="preserve">., ДВ, бр. 81 от 03.10.2025 г.). Задълженията за регулираните субекти произтичат пряко от действащото законодателство и остават в сила, като проектът има за цел единствено да подпомогне тяхното ясно, последователно и ефективно прилагане. </w:t>
            </w:r>
          </w:p>
          <w:p w14:paraId="3A322786" w14:textId="77777777" w:rsidR="002E3E2C" w:rsidRPr="002E3E2C" w:rsidRDefault="002E3E2C" w:rsidP="002E3E2C">
            <w:pPr>
              <w:spacing w:before="200" w:after="200" w:line="276" w:lineRule="auto"/>
              <w:ind w:firstLine="0"/>
              <w:rPr>
                <w:rFonts w:eastAsia="Calibri"/>
                <w:sz w:val="22"/>
                <w:szCs w:val="22"/>
                <w:lang w:eastAsia="en-US"/>
              </w:rPr>
            </w:pPr>
            <w:r w:rsidRPr="002E3E2C">
              <w:rPr>
                <w:rFonts w:eastAsia="Calibri"/>
                <w:sz w:val="22"/>
                <w:szCs w:val="22"/>
                <w:lang w:eastAsia="en-US"/>
              </w:rPr>
              <w:t>Предвидените срокове и процедури в проекта на акт са съобразени с приложимото европейско законодателство, в частност с Регламент за изпълнение (ЕС) 2018/2066 на Комисията относно мониторинга и докладването на емисиите на парникови газове съгласно Директива 2003/87/ЕО, както и с утвърдените практики по прилагане на действащата СТЕ 1.</w:t>
            </w:r>
          </w:p>
          <w:p w14:paraId="31231B9E" w14:textId="77777777" w:rsidR="002E3E2C" w:rsidRPr="002E3E2C" w:rsidRDefault="002E3E2C" w:rsidP="002E3E2C">
            <w:pPr>
              <w:spacing w:before="200" w:after="200" w:line="276" w:lineRule="auto"/>
              <w:ind w:firstLine="0"/>
              <w:rPr>
                <w:rFonts w:eastAsia="Calibri"/>
                <w:sz w:val="22"/>
                <w:szCs w:val="22"/>
                <w:lang w:eastAsia="en-US"/>
              </w:rPr>
            </w:pPr>
            <w:r w:rsidRPr="002E3E2C">
              <w:rPr>
                <w:rFonts w:eastAsia="Calibri"/>
                <w:sz w:val="22"/>
                <w:szCs w:val="22"/>
                <w:lang w:eastAsia="en-US"/>
              </w:rPr>
              <w:t xml:space="preserve">По отношение на въведените регулаторни режими, същите вече са </w:t>
            </w:r>
            <w:r w:rsidRPr="002E3E2C">
              <w:rPr>
                <w:rFonts w:eastAsia="Calibri"/>
                <w:sz w:val="22"/>
                <w:szCs w:val="22"/>
                <w:lang w:eastAsia="en-US"/>
              </w:rPr>
              <w:lastRenderedPageBreak/>
              <w:t>установени на законово ниво със ЗОИК. Съгласно чл. 51г и чл. 51д от закона, дейностите по приложение № 3 подлежат на разрешителен режим чрез издаване на разрешително за емисии на парникови газове. Лицата, притежаващи такова разрешително, считано от 2025 г., са длъжни да извършват годишен мониторинг на емисиите от количествата горива, освободени за потребление по приложение № 3, както и да изготвят годишни доклади. Тези доклади подлежат на верификация съгласно приложимите актове за изпълнение на Европейската комисия.</w:t>
            </w:r>
          </w:p>
          <w:p w14:paraId="2AE7515E" w14:textId="77777777" w:rsidR="002E3E2C" w:rsidRPr="002E3E2C" w:rsidRDefault="002E3E2C" w:rsidP="002E3E2C">
            <w:pPr>
              <w:spacing w:before="200" w:after="200" w:line="276" w:lineRule="auto"/>
              <w:ind w:firstLine="0"/>
              <w:rPr>
                <w:rFonts w:eastAsia="Calibri"/>
                <w:sz w:val="22"/>
                <w:szCs w:val="22"/>
                <w:lang w:eastAsia="en-US"/>
              </w:rPr>
            </w:pPr>
            <w:r w:rsidRPr="002E3E2C">
              <w:rPr>
                <w:rFonts w:eastAsia="Calibri"/>
                <w:sz w:val="22"/>
                <w:szCs w:val="22"/>
                <w:lang w:eastAsia="en-US"/>
              </w:rPr>
              <w:t>В този контекст, настоящият проект на акт има за цел да уреди в детайли прилагането на Регламент за изпълнение (ЕС) 2018/2066, както и да конкретизира процедурите по мониторинг, докладване и верификация, които вече са задължителни за засегнатите субекти.</w:t>
            </w:r>
          </w:p>
          <w:p w14:paraId="07295C3E" w14:textId="77777777" w:rsidR="002E3E2C" w:rsidRPr="002E3E2C" w:rsidRDefault="002E3E2C" w:rsidP="002E3E2C">
            <w:pPr>
              <w:spacing w:before="200" w:after="200" w:line="276" w:lineRule="auto"/>
              <w:ind w:firstLine="0"/>
              <w:rPr>
                <w:rFonts w:eastAsia="Calibri"/>
                <w:sz w:val="22"/>
                <w:szCs w:val="22"/>
                <w:lang w:eastAsia="en-US"/>
              </w:rPr>
            </w:pPr>
            <w:r w:rsidRPr="002E3E2C">
              <w:rPr>
                <w:rFonts w:eastAsia="Calibri"/>
                <w:sz w:val="22"/>
                <w:szCs w:val="22"/>
                <w:lang w:eastAsia="en-US"/>
              </w:rPr>
              <w:t xml:space="preserve">По отношение на администрирането на процедурата, обръщаме внимание, че в Портала за електронни административни услуги (egov.bg) е налична функционалност за подаване </w:t>
            </w:r>
            <w:r w:rsidRPr="002E3E2C">
              <w:rPr>
                <w:rFonts w:eastAsia="Calibri"/>
                <w:sz w:val="22"/>
                <w:szCs w:val="22"/>
                <w:lang w:eastAsia="en-US"/>
              </w:rPr>
              <w:lastRenderedPageBreak/>
              <w:t>на документи за издаване на разрешителни за емисии на парникови газове (идентификатор: 2459) по отношение на операторите в СТЕ 1. След приемане на подзаконовите нормативни актове по настоящото постановление, съответните формуляри и заявления ще бъдат разширени и по отношение на регулираните субекти по приложение № 3 към ЗОИК.</w:t>
            </w:r>
          </w:p>
          <w:p w14:paraId="58C468E0" w14:textId="59A85899" w:rsidR="002E3E2C" w:rsidRPr="002E3E2C" w:rsidRDefault="004873AF" w:rsidP="002E3E2C">
            <w:pPr>
              <w:spacing w:before="200" w:after="200" w:line="276" w:lineRule="auto"/>
              <w:ind w:firstLine="0"/>
              <w:rPr>
                <w:rFonts w:eastAsia="Calibri"/>
                <w:sz w:val="22"/>
                <w:szCs w:val="22"/>
                <w:lang w:eastAsia="en-US"/>
              </w:rPr>
            </w:pPr>
            <w:r>
              <w:rPr>
                <w:rFonts w:eastAsia="Calibri"/>
                <w:sz w:val="22"/>
                <w:szCs w:val="22"/>
                <w:lang w:eastAsia="en-US"/>
              </w:rPr>
              <w:t>Оценката на въздействие</w:t>
            </w:r>
            <w:r w:rsidR="002E3E2C" w:rsidRPr="002E3E2C">
              <w:rPr>
                <w:rFonts w:eastAsia="Calibri"/>
                <w:sz w:val="22"/>
                <w:szCs w:val="22"/>
                <w:lang w:eastAsia="en-US"/>
              </w:rPr>
              <w:t xml:space="preserve"> е допълнена, като е отчетен административният товар, свързан с прилагането на проекта на акт.</w:t>
            </w:r>
          </w:p>
          <w:p w14:paraId="01F8359E" w14:textId="77777777" w:rsidR="002E3E2C" w:rsidRPr="002E3E2C" w:rsidRDefault="002E3E2C" w:rsidP="002E3E2C">
            <w:pPr>
              <w:spacing w:before="200" w:after="200" w:line="276" w:lineRule="auto"/>
              <w:ind w:firstLine="0"/>
              <w:rPr>
                <w:rFonts w:eastAsia="Calibri"/>
                <w:sz w:val="22"/>
                <w:szCs w:val="22"/>
                <w:lang w:eastAsia="en-US"/>
              </w:rPr>
            </w:pPr>
            <w:r w:rsidRPr="002E3E2C">
              <w:rPr>
                <w:rFonts w:eastAsia="Calibri"/>
                <w:sz w:val="22"/>
                <w:szCs w:val="22"/>
                <w:lang w:eastAsia="en-US"/>
              </w:rPr>
              <w:t>Проектът на акт е изготвен, обсъден и съгласуван в съответствие с изискванията на Устройствения правилник на Министерския съвет и приложимите процедури.</w:t>
            </w:r>
          </w:p>
          <w:p w14:paraId="2A2D9284" w14:textId="20718CC9" w:rsidR="002E3E2C" w:rsidRPr="002E3E2C" w:rsidRDefault="002E3E2C" w:rsidP="002E3E2C">
            <w:pPr>
              <w:spacing w:before="200" w:after="200" w:line="276" w:lineRule="auto"/>
              <w:ind w:firstLine="0"/>
              <w:rPr>
                <w:rFonts w:eastAsia="Calibri"/>
                <w:sz w:val="22"/>
                <w:szCs w:val="22"/>
                <w:lang w:eastAsia="en-US"/>
              </w:rPr>
            </w:pPr>
            <w:r w:rsidRPr="002E3E2C">
              <w:rPr>
                <w:rFonts w:eastAsia="Calibri"/>
                <w:sz w:val="22"/>
                <w:szCs w:val="22"/>
                <w:lang w:eastAsia="en-US"/>
              </w:rPr>
              <w:t>Отново следва да се подчертае, че СТЕ 2 е вече част от българското законодателство</w:t>
            </w:r>
            <w:r w:rsidR="004873AF">
              <w:rPr>
                <w:rFonts w:eastAsia="Calibri"/>
                <w:sz w:val="22"/>
                <w:szCs w:val="22"/>
                <w:lang w:val="en-US" w:eastAsia="en-US"/>
              </w:rPr>
              <w:t>,</w:t>
            </w:r>
            <w:bookmarkStart w:id="3" w:name="_GoBack"/>
            <w:bookmarkEnd w:id="3"/>
            <w:r w:rsidRPr="002E3E2C">
              <w:rPr>
                <w:rFonts w:eastAsia="Calibri"/>
                <w:sz w:val="22"/>
                <w:szCs w:val="22"/>
                <w:lang w:eastAsia="en-US"/>
              </w:rPr>
              <w:t xml:space="preserve"> чрез транспониране на Директива (ЕС) 2023/959 за изменение на Директива 2003/87/ЕО. </w:t>
            </w:r>
          </w:p>
          <w:p w14:paraId="420206E8" w14:textId="20943B1E" w:rsidR="002E3E2C" w:rsidRPr="00F56999" w:rsidRDefault="002E3E2C" w:rsidP="002E3E2C">
            <w:pPr>
              <w:tabs>
                <w:tab w:val="left" w:pos="1020"/>
                <w:tab w:val="left" w:pos="1230"/>
              </w:tabs>
              <w:spacing w:line="240" w:lineRule="auto"/>
              <w:ind w:firstLine="0"/>
              <w:rPr>
                <w:b/>
                <w:sz w:val="20"/>
                <w:szCs w:val="20"/>
              </w:rPr>
            </w:pPr>
            <w:r w:rsidRPr="002E3E2C">
              <w:rPr>
                <w:rFonts w:eastAsia="Calibri"/>
                <w:sz w:val="22"/>
                <w:szCs w:val="22"/>
                <w:lang w:eastAsia="en-US"/>
              </w:rPr>
              <w:t xml:space="preserve">В заключение, подчертаваме, че предвидените изменения и допълнения в настоящия проект на </w:t>
            </w:r>
            <w:r w:rsidRPr="002E3E2C">
              <w:rPr>
                <w:rFonts w:eastAsia="Calibri"/>
                <w:sz w:val="22"/>
                <w:szCs w:val="22"/>
                <w:lang w:eastAsia="en-US"/>
              </w:rPr>
              <w:lastRenderedPageBreak/>
              <w:t>акт не засягат поддържаната позиция на Република България, последователно изразявана в рамките на различни формати на ниво Европейски съюз, по ключови елементи на Системата за търговия с емисии на парникови газове (ЕСТЕ), включително по отношение на отлагане на прилагането на новата схема (ЕСТЕ 2), обхващаща емисиите от сгради и транспорт, най-малко до 2030 г</w:t>
            </w:r>
            <w:r>
              <w:rPr>
                <w:rFonts w:eastAsia="Calibri"/>
                <w:sz w:val="22"/>
                <w:szCs w:val="22"/>
                <w:lang w:eastAsia="en-US"/>
              </w:rPr>
              <w:t>.</w:t>
            </w:r>
          </w:p>
        </w:tc>
      </w:tr>
      <w:bookmarkEnd w:id="0"/>
    </w:tbl>
    <w:p w14:paraId="3A530867" w14:textId="77777777" w:rsidR="00F56999" w:rsidRPr="00F56999" w:rsidRDefault="00F56999" w:rsidP="00F56999">
      <w:pPr>
        <w:spacing w:after="0" w:line="240" w:lineRule="auto"/>
        <w:ind w:firstLine="0"/>
        <w:jc w:val="left"/>
        <w:rPr>
          <w:sz w:val="23"/>
          <w:szCs w:val="23"/>
        </w:rPr>
      </w:pPr>
    </w:p>
    <w:p w14:paraId="47723E82" w14:textId="77777777" w:rsidR="000614E7" w:rsidRPr="0032403B" w:rsidRDefault="000614E7" w:rsidP="0032403B">
      <w:pPr>
        <w:ind w:firstLine="0"/>
      </w:pPr>
    </w:p>
    <w:sectPr w:rsidR="000614E7" w:rsidRPr="0032403B" w:rsidSect="0032403B">
      <w:footerReference w:type="default" r:id="rId9"/>
      <w:headerReference w:type="first" r:id="rId10"/>
      <w:footerReference w:type="first" r:id="rId11"/>
      <w:pgSz w:w="16840" w:h="11907" w:orient="landscape" w:code="9"/>
      <w:pgMar w:top="1418" w:right="1418" w:bottom="1418" w:left="1418" w:header="426" w:footer="70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E6C30D" w14:textId="77777777" w:rsidR="004334F4" w:rsidRDefault="004334F4" w:rsidP="000A3896">
      <w:r>
        <w:separator/>
      </w:r>
    </w:p>
    <w:p w14:paraId="36D589A3" w14:textId="77777777" w:rsidR="004334F4" w:rsidRDefault="004334F4" w:rsidP="000A3896"/>
  </w:endnote>
  <w:endnote w:type="continuationSeparator" w:id="0">
    <w:p w14:paraId="6A982AC4" w14:textId="77777777" w:rsidR="004334F4" w:rsidRDefault="004334F4" w:rsidP="000A3896">
      <w:r>
        <w:continuationSeparator/>
      </w:r>
    </w:p>
    <w:p w14:paraId="6AAD8741" w14:textId="77777777" w:rsidR="004334F4" w:rsidRDefault="004334F4" w:rsidP="000A38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Futura Bk">
    <w:altName w:val="Century Gothic"/>
    <w:panose1 w:val="00000000000000000000"/>
    <w:charset w:val="CC"/>
    <w:family w:val="swiss"/>
    <w:notTrueType/>
    <w:pitch w:val="variable"/>
    <w:sig w:usb0="00000203" w:usb1="00000000" w:usb2="00000000" w:usb3="00000000" w:csb0="00000005"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415B35" w14:textId="1AA6ED1C" w:rsidR="000D080B" w:rsidRPr="006E498A" w:rsidRDefault="002D131F" w:rsidP="000D080B">
    <w:pPr>
      <w:pStyle w:val="06"/>
    </w:pPr>
    <w:r w:rsidRPr="002D131F">
      <w:t>Справка за отразяване на постъпилите предложения и становища от обществени консултации</w:t>
    </w:r>
  </w:p>
  <w:p w14:paraId="7DC9D934" w14:textId="17C6E73E" w:rsidR="00067642" w:rsidRPr="00C316ED" w:rsidRDefault="000A3896" w:rsidP="00C71B2D">
    <w:pPr>
      <w:pStyle w:val="07"/>
    </w:pPr>
    <w:r w:rsidRPr="00C316ED">
      <w:t xml:space="preserve">Страница </w:t>
    </w:r>
    <w:r w:rsidRPr="00C316ED">
      <w:fldChar w:fldCharType="begin"/>
    </w:r>
    <w:r w:rsidRPr="00C316ED">
      <w:instrText xml:space="preserve"> PAGE </w:instrText>
    </w:r>
    <w:r w:rsidRPr="00C316ED">
      <w:fldChar w:fldCharType="separate"/>
    </w:r>
    <w:r w:rsidR="004873AF">
      <w:rPr>
        <w:noProof/>
      </w:rPr>
      <w:t>8</w:t>
    </w:r>
    <w:r w:rsidRPr="00C316ED">
      <w:fldChar w:fldCharType="end"/>
    </w:r>
    <w:r w:rsidRPr="00C316ED">
      <w:t xml:space="preserve"> от </w:t>
    </w:r>
    <w:r w:rsidRPr="00C316ED">
      <w:fldChar w:fldCharType="begin"/>
    </w:r>
    <w:r w:rsidRPr="00C316ED">
      <w:instrText xml:space="preserve"> SECTIONPAGES</w:instrText>
    </w:r>
    <w:r w:rsidRPr="00C316ED">
      <w:fldChar w:fldCharType="separate"/>
    </w:r>
    <w:r w:rsidR="004873AF">
      <w:rPr>
        <w:noProof/>
      </w:rPr>
      <w:t>11</w:t>
    </w:r>
    <w:r w:rsidRPr="00C316E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DA1F44" w14:textId="16B868E1" w:rsidR="000A3896" w:rsidRPr="006E498A" w:rsidRDefault="002D131F" w:rsidP="002D131F">
    <w:pPr>
      <w:pStyle w:val="06"/>
    </w:pPr>
    <w:r>
      <w:t>Справка за отразяване на постъпилите предложения и становища от обществени консултации</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E98440" w14:textId="77777777" w:rsidR="004334F4" w:rsidRDefault="004334F4" w:rsidP="000A3896">
      <w:r>
        <w:separator/>
      </w:r>
    </w:p>
    <w:p w14:paraId="73835307" w14:textId="77777777" w:rsidR="004334F4" w:rsidRDefault="004334F4" w:rsidP="000A3896"/>
  </w:footnote>
  <w:footnote w:type="continuationSeparator" w:id="0">
    <w:p w14:paraId="1880375C" w14:textId="77777777" w:rsidR="004334F4" w:rsidRDefault="004334F4" w:rsidP="000A3896">
      <w:r>
        <w:continuationSeparator/>
      </w:r>
    </w:p>
    <w:p w14:paraId="09D88C0F" w14:textId="77777777" w:rsidR="004334F4" w:rsidRDefault="004334F4" w:rsidP="000A389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5E7AC" w14:textId="7C881B88" w:rsidR="000614E7" w:rsidRDefault="00714F55" w:rsidP="00F56999">
    <w:pPr>
      <w:pStyle w:val="Header"/>
      <w:pBdr>
        <w:bottom w:val="single" w:sz="6" w:space="1" w:color="auto"/>
      </w:pBdr>
      <w:spacing w:before="120"/>
      <w:ind w:left="-284" w:right="-284"/>
      <w:jc w:val="center"/>
      <w:rPr>
        <w:b/>
        <w:bCs/>
        <w:sz w:val="32"/>
        <w:szCs w:val="32"/>
      </w:rPr>
    </w:pPr>
    <w:r>
      <w:rPr>
        <w:b/>
        <w:bCs/>
        <w:sz w:val="32"/>
        <w:szCs w:val="32"/>
      </w:rPr>
      <w:t>МИНИСТЕРСТВО НА ОКОЛНАТА СРЕДА И ВОДИТЕ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C56FC"/>
    <w:multiLevelType w:val="hybridMultilevel"/>
    <w:tmpl w:val="BB1EEA66"/>
    <w:lvl w:ilvl="0" w:tplc="F43C5120">
      <w:numFmt w:val="bullet"/>
      <w:lvlText w:val="-"/>
      <w:lvlJc w:val="left"/>
      <w:pPr>
        <w:ind w:left="927" w:hanging="360"/>
      </w:pPr>
      <w:rPr>
        <w:rFonts w:ascii="Times New Roman" w:eastAsia="Times New Roman" w:hAnsi="Times New Roman" w:cs="Times New Roman" w:hint="default"/>
        <w:lang w:val="bg-BG"/>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1" w15:restartNumberingAfterBreak="0">
    <w:nsid w:val="027870E2"/>
    <w:multiLevelType w:val="hybridMultilevel"/>
    <w:tmpl w:val="BBA09E64"/>
    <w:lvl w:ilvl="0" w:tplc="77F0A692">
      <w:start w:val="2"/>
      <w:numFmt w:val="decimal"/>
      <w:lvlText w:val="%1."/>
      <w:lvlJc w:val="left"/>
      <w:pPr>
        <w:tabs>
          <w:tab w:val="num" w:pos="1800"/>
        </w:tabs>
        <w:ind w:left="1800" w:hanging="360"/>
      </w:pPr>
      <w:rPr>
        <w:rFonts w:hint="default"/>
      </w:rPr>
    </w:lvl>
    <w:lvl w:ilvl="1" w:tplc="04020019" w:tentative="1">
      <w:start w:val="1"/>
      <w:numFmt w:val="lowerLetter"/>
      <w:lvlText w:val="%2."/>
      <w:lvlJc w:val="left"/>
      <w:pPr>
        <w:tabs>
          <w:tab w:val="num" w:pos="2520"/>
        </w:tabs>
        <w:ind w:left="2520" w:hanging="360"/>
      </w:pPr>
    </w:lvl>
    <w:lvl w:ilvl="2" w:tplc="0402001B" w:tentative="1">
      <w:start w:val="1"/>
      <w:numFmt w:val="lowerRoman"/>
      <w:lvlText w:val="%3."/>
      <w:lvlJc w:val="right"/>
      <w:pPr>
        <w:tabs>
          <w:tab w:val="num" w:pos="3240"/>
        </w:tabs>
        <w:ind w:left="3240" w:hanging="180"/>
      </w:pPr>
    </w:lvl>
    <w:lvl w:ilvl="3" w:tplc="0402000F" w:tentative="1">
      <w:start w:val="1"/>
      <w:numFmt w:val="decimal"/>
      <w:lvlText w:val="%4."/>
      <w:lvlJc w:val="left"/>
      <w:pPr>
        <w:tabs>
          <w:tab w:val="num" w:pos="3960"/>
        </w:tabs>
        <w:ind w:left="3960" w:hanging="360"/>
      </w:pPr>
    </w:lvl>
    <w:lvl w:ilvl="4" w:tplc="04020019" w:tentative="1">
      <w:start w:val="1"/>
      <w:numFmt w:val="lowerLetter"/>
      <w:lvlText w:val="%5."/>
      <w:lvlJc w:val="left"/>
      <w:pPr>
        <w:tabs>
          <w:tab w:val="num" w:pos="4680"/>
        </w:tabs>
        <w:ind w:left="4680" w:hanging="360"/>
      </w:pPr>
    </w:lvl>
    <w:lvl w:ilvl="5" w:tplc="0402001B" w:tentative="1">
      <w:start w:val="1"/>
      <w:numFmt w:val="lowerRoman"/>
      <w:lvlText w:val="%6."/>
      <w:lvlJc w:val="right"/>
      <w:pPr>
        <w:tabs>
          <w:tab w:val="num" w:pos="5400"/>
        </w:tabs>
        <w:ind w:left="5400" w:hanging="180"/>
      </w:pPr>
    </w:lvl>
    <w:lvl w:ilvl="6" w:tplc="0402000F" w:tentative="1">
      <w:start w:val="1"/>
      <w:numFmt w:val="decimal"/>
      <w:lvlText w:val="%7."/>
      <w:lvlJc w:val="left"/>
      <w:pPr>
        <w:tabs>
          <w:tab w:val="num" w:pos="6120"/>
        </w:tabs>
        <w:ind w:left="6120" w:hanging="360"/>
      </w:pPr>
    </w:lvl>
    <w:lvl w:ilvl="7" w:tplc="04020019" w:tentative="1">
      <w:start w:val="1"/>
      <w:numFmt w:val="lowerLetter"/>
      <w:lvlText w:val="%8."/>
      <w:lvlJc w:val="left"/>
      <w:pPr>
        <w:tabs>
          <w:tab w:val="num" w:pos="6840"/>
        </w:tabs>
        <w:ind w:left="6840" w:hanging="360"/>
      </w:pPr>
    </w:lvl>
    <w:lvl w:ilvl="8" w:tplc="0402001B" w:tentative="1">
      <w:start w:val="1"/>
      <w:numFmt w:val="lowerRoman"/>
      <w:lvlText w:val="%9."/>
      <w:lvlJc w:val="right"/>
      <w:pPr>
        <w:tabs>
          <w:tab w:val="num" w:pos="7560"/>
        </w:tabs>
        <w:ind w:left="7560" w:hanging="180"/>
      </w:pPr>
    </w:lvl>
  </w:abstractNum>
  <w:abstractNum w:abstractNumId="2" w15:restartNumberingAfterBreak="0">
    <w:nsid w:val="03ED3DCE"/>
    <w:multiLevelType w:val="hybridMultilevel"/>
    <w:tmpl w:val="8E641754"/>
    <w:lvl w:ilvl="0" w:tplc="0402000F">
      <w:start w:val="1"/>
      <w:numFmt w:val="decimal"/>
      <w:lvlText w:val="%1."/>
      <w:lvlJc w:val="left"/>
      <w:pPr>
        <w:ind w:left="927" w:hanging="360"/>
      </w:pPr>
      <w:rPr>
        <w:rFonts w:hint="default"/>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3" w15:restartNumberingAfterBreak="0">
    <w:nsid w:val="05AE1E22"/>
    <w:multiLevelType w:val="hybridMultilevel"/>
    <w:tmpl w:val="55064DFE"/>
    <w:lvl w:ilvl="0" w:tplc="10B2005A">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4" w15:restartNumberingAfterBreak="0">
    <w:nsid w:val="07FB630B"/>
    <w:multiLevelType w:val="hybridMultilevel"/>
    <w:tmpl w:val="CE12FF60"/>
    <w:lvl w:ilvl="0" w:tplc="04090001">
      <w:start w:val="1"/>
      <w:numFmt w:val="bullet"/>
      <w:lvlText w:val=""/>
      <w:lvlJc w:val="left"/>
      <w:pPr>
        <w:tabs>
          <w:tab w:val="num" w:pos="2235"/>
        </w:tabs>
        <w:ind w:left="2235" w:hanging="360"/>
      </w:pPr>
      <w:rPr>
        <w:rFonts w:ascii="Symbol" w:hAnsi="Symbol" w:hint="default"/>
      </w:rPr>
    </w:lvl>
    <w:lvl w:ilvl="1" w:tplc="04090003" w:tentative="1">
      <w:start w:val="1"/>
      <w:numFmt w:val="bullet"/>
      <w:lvlText w:val="o"/>
      <w:lvlJc w:val="left"/>
      <w:pPr>
        <w:tabs>
          <w:tab w:val="num" w:pos="2955"/>
        </w:tabs>
        <w:ind w:left="2955" w:hanging="360"/>
      </w:pPr>
      <w:rPr>
        <w:rFonts w:ascii="Courier New" w:hAnsi="Courier New" w:hint="default"/>
      </w:rPr>
    </w:lvl>
    <w:lvl w:ilvl="2" w:tplc="04090005" w:tentative="1">
      <w:start w:val="1"/>
      <w:numFmt w:val="bullet"/>
      <w:lvlText w:val=""/>
      <w:lvlJc w:val="left"/>
      <w:pPr>
        <w:tabs>
          <w:tab w:val="num" w:pos="3675"/>
        </w:tabs>
        <w:ind w:left="3675" w:hanging="360"/>
      </w:pPr>
      <w:rPr>
        <w:rFonts w:ascii="Wingdings" w:hAnsi="Wingdings" w:hint="default"/>
      </w:rPr>
    </w:lvl>
    <w:lvl w:ilvl="3" w:tplc="04090001" w:tentative="1">
      <w:start w:val="1"/>
      <w:numFmt w:val="bullet"/>
      <w:lvlText w:val=""/>
      <w:lvlJc w:val="left"/>
      <w:pPr>
        <w:tabs>
          <w:tab w:val="num" w:pos="4395"/>
        </w:tabs>
        <w:ind w:left="4395" w:hanging="360"/>
      </w:pPr>
      <w:rPr>
        <w:rFonts w:ascii="Symbol" w:hAnsi="Symbol" w:hint="default"/>
      </w:rPr>
    </w:lvl>
    <w:lvl w:ilvl="4" w:tplc="04090003" w:tentative="1">
      <w:start w:val="1"/>
      <w:numFmt w:val="bullet"/>
      <w:lvlText w:val="o"/>
      <w:lvlJc w:val="left"/>
      <w:pPr>
        <w:tabs>
          <w:tab w:val="num" w:pos="5115"/>
        </w:tabs>
        <w:ind w:left="5115" w:hanging="360"/>
      </w:pPr>
      <w:rPr>
        <w:rFonts w:ascii="Courier New" w:hAnsi="Courier New" w:hint="default"/>
      </w:rPr>
    </w:lvl>
    <w:lvl w:ilvl="5" w:tplc="04090005" w:tentative="1">
      <w:start w:val="1"/>
      <w:numFmt w:val="bullet"/>
      <w:lvlText w:val=""/>
      <w:lvlJc w:val="left"/>
      <w:pPr>
        <w:tabs>
          <w:tab w:val="num" w:pos="5835"/>
        </w:tabs>
        <w:ind w:left="5835" w:hanging="360"/>
      </w:pPr>
      <w:rPr>
        <w:rFonts w:ascii="Wingdings" w:hAnsi="Wingdings" w:hint="default"/>
      </w:rPr>
    </w:lvl>
    <w:lvl w:ilvl="6" w:tplc="04090001" w:tentative="1">
      <w:start w:val="1"/>
      <w:numFmt w:val="bullet"/>
      <w:lvlText w:val=""/>
      <w:lvlJc w:val="left"/>
      <w:pPr>
        <w:tabs>
          <w:tab w:val="num" w:pos="6555"/>
        </w:tabs>
        <w:ind w:left="6555" w:hanging="360"/>
      </w:pPr>
      <w:rPr>
        <w:rFonts w:ascii="Symbol" w:hAnsi="Symbol" w:hint="default"/>
      </w:rPr>
    </w:lvl>
    <w:lvl w:ilvl="7" w:tplc="04090003" w:tentative="1">
      <w:start w:val="1"/>
      <w:numFmt w:val="bullet"/>
      <w:lvlText w:val="o"/>
      <w:lvlJc w:val="left"/>
      <w:pPr>
        <w:tabs>
          <w:tab w:val="num" w:pos="7275"/>
        </w:tabs>
        <w:ind w:left="7275" w:hanging="360"/>
      </w:pPr>
      <w:rPr>
        <w:rFonts w:ascii="Courier New" w:hAnsi="Courier New" w:hint="default"/>
      </w:rPr>
    </w:lvl>
    <w:lvl w:ilvl="8" w:tplc="04090005" w:tentative="1">
      <w:start w:val="1"/>
      <w:numFmt w:val="bullet"/>
      <w:lvlText w:val=""/>
      <w:lvlJc w:val="left"/>
      <w:pPr>
        <w:tabs>
          <w:tab w:val="num" w:pos="7995"/>
        </w:tabs>
        <w:ind w:left="7995" w:hanging="360"/>
      </w:pPr>
      <w:rPr>
        <w:rFonts w:ascii="Wingdings" w:hAnsi="Wingdings" w:hint="default"/>
      </w:rPr>
    </w:lvl>
  </w:abstractNum>
  <w:abstractNum w:abstractNumId="5" w15:restartNumberingAfterBreak="0">
    <w:nsid w:val="09897C80"/>
    <w:multiLevelType w:val="hybridMultilevel"/>
    <w:tmpl w:val="C3843A80"/>
    <w:lvl w:ilvl="0" w:tplc="FD763AF8">
      <w:start w:val="43"/>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0BEE6D08"/>
    <w:multiLevelType w:val="hybridMultilevel"/>
    <w:tmpl w:val="77A206E2"/>
    <w:lvl w:ilvl="0" w:tplc="8078FCEC">
      <w:start w:val="1"/>
      <w:numFmt w:val="decimal"/>
      <w:lvlText w:val="%1."/>
      <w:lvlJc w:val="left"/>
      <w:pPr>
        <w:tabs>
          <w:tab w:val="num" w:pos="1800"/>
        </w:tabs>
        <w:ind w:left="1800" w:hanging="360"/>
      </w:pPr>
      <w:rPr>
        <w:rFonts w:hint="default"/>
      </w:rPr>
    </w:lvl>
    <w:lvl w:ilvl="1" w:tplc="04020019" w:tentative="1">
      <w:start w:val="1"/>
      <w:numFmt w:val="lowerLetter"/>
      <w:lvlText w:val="%2."/>
      <w:lvlJc w:val="left"/>
      <w:pPr>
        <w:tabs>
          <w:tab w:val="num" w:pos="2520"/>
        </w:tabs>
        <w:ind w:left="2520" w:hanging="360"/>
      </w:pPr>
    </w:lvl>
    <w:lvl w:ilvl="2" w:tplc="0402001B" w:tentative="1">
      <w:start w:val="1"/>
      <w:numFmt w:val="lowerRoman"/>
      <w:lvlText w:val="%3."/>
      <w:lvlJc w:val="right"/>
      <w:pPr>
        <w:tabs>
          <w:tab w:val="num" w:pos="3240"/>
        </w:tabs>
        <w:ind w:left="3240" w:hanging="180"/>
      </w:pPr>
    </w:lvl>
    <w:lvl w:ilvl="3" w:tplc="0402000F" w:tentative="1">
      <w:start w:val="1"/>
      <w:numFmt w:val="decimal"/>
      <w:lvlText w:val="%4."/>
      <w:lvlJc w:val="left"/>
      <w:pPr>
        <w:tabs>
          <w:tab w:val="num" w:pos="3960"/>
        </w:tabs>
        <w:ind w:left="3960" w:hanging="360"/>
      </w:pPr>
    </w:lvl>
    <w:lvl w:ilvl="4" w:tplc="04020019" w:tentative="1">
      <w:start w:val="1"/>
      <w:numFmt w:val="lowerLetter"/>
      <w:lvlText w:val="%5."/>
      <w:lvlJc w:val="left"/>
      <w:pPr>
        <w:tabs>
          <w:tab w:val="num" w:pos="4680"/>
        </w:tabs>
        <w:ind w:left="4680" w:hanging="360"/>
      </w:pPr>
    </w:lvl>
    <w:lvl w:ilvl="5" w:tplc="0402001B" w:tentative="1">
      <w:start w:val="1"/>
      <w:numFmt w:val="lowerRoman"/>
      <w:lvlText w:val="%6."/>
      <w:lvlJc w:val="right"/>
      <w:pPr>
        <w:tabs>
          <w:tab w:val="num" w:pos="5400"/>
        </w:tabs>
        <w:ind w:left="5400" w:hanging="180"/>
      </w:pPr>
    </w:lvl>
    <w:lvl w:ilvl="6" w:tplc="0402000F" w:tentative="1">
      <w:start w:val="1"/>
      <w:numFmt w:val="decimal"/>
      <w:lvlText w:val="%7."/>
      <w:lvlJc w:val="left"/>
      <w:pPr>
        <w:tabs>
          <w:tab w:val="num" w:pos="6120"/>
        </w:tabs>
        <w:ind w:left="6120" w:hanging="360"/>
      </w:pPr>
    </w:lvl>
    <w:lvl w:ilvl="7" w:tplc="04020019" w:tentative="1">
      <w:start w:val="1"/>
      <w:numFmt w:val="lowerLetter"/>
      <w:lvlText w:val="%8."/>
      <w:lvlJc w:val="left"/>
      <w:pPr>
        <w:tabs>
          <w:tab w:val="num" w:pos="6840"/>
        </w:tabs>
        <w:ind w:left="6840" w:hanging="360"/>
      </w:pPr>
    </w:lvl>
    <w:lvl w:ilvl="8" w:tplc="0402001B" w:tentative="1">
      <w:start w:val="1"/>
      <w:numFmt w:val="lowerRoman"/>
      <w:lvlText w:val="%9."/>
      <w:lvlJc w:val="right"/>
      <w:pPr>
        <w:tabs>
          <w:tab w:val="num" w:pos="7560"/>
        </w:tabs>
        <w:ind w:left="7560" w:hanging="180"/>
      </w:pPr>
    </w:lvl>
  </w:abstractNum>
  <w:abstractNum w:abstractNumId="7" w15:restartNumberingAfterBreak="0">
    <w:nsid w:val="0C1107C4"/>
    <w:multiLevelType w:val="multilevel"/>
    <w:tmpl w:val="A29229E8"/>
    <w:lvl w:ilvl="0">
      <w:start w:val="1"/>
      <w:numFmt w:val="decimal"/>
      <w:pStyle w:val="Heading1"/>
      <w:lvlText w:val="%1."/>
      <w:lvlJc w:val="left"/>
      <w:pPr>
        <w:ind w:left="36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D0064B4"/>
    <w:multiLevelType w:val="hybridMultilevel"/>
    <w:tmpl w:val="CE12FF60"/>
    <w:lvl w:ilvl="0" w:tplc="0409000F">
      <w:start w:val="1"/>
      <w:numFmt w:val="decimal"/>
      <w:lvlText w:val="%1."/>
      <w:lvlJc w:val="left"/>
      <w:pPr>
        <w:tabs>
          <w:tab w:val="num" w:pos="2235"/>
        </w:tabs>
        <w:ind w:left="2235" w:hanging="360"/>
      </w:pPr>
    </w:lvl>
    <w:lvl w:ilvl="1" w:tplc="04090003" w:tentative="1">
      <w:start w:val="1"/>
      <w:numFmt w:val="bullet"/>
      <w:lvlText w:val="o"/>
      <w:lvlJc w:val="left"/>
      <w:pPr>
        <w:tabs>
          <w:tab w:val="num" w:pos="2955"/>
        </w:tabs>
        <w:ind w:left="2955" w:hanging="360"/>
      </w:pPr>
      <w:rPr>
        <w:rFonts w:ascii="Courier New" w:hAnsi="Courier New" w:hint="default"/>
      </w:rPr>
    </w:lvl>
    <w:lvl w:ilvl="2" w:tplc="04090005" w:tentative="1">
      <w:start w:val="1"/>
      <w:numFmt w:val="bullet"/>
      <w:lvlText w:val=""/>
      <w:lvlJc w:val="left"/>
      <w:pPr>
        <w:tabs>
          <w:tab w:val="num" w:pos="3675"/>
        </w:tabs>
        <w:ind w:left="3675" w:hanging="360"/>
      </w:pPr>
      <w:rPr>
        <w:rFonts w:ascii="Wingdings" w:hAnsi="Wingdings" w:hint="default"/>
      </w:rPr>
    </w:lvl>
    <w:lvl w:ilvl="3" w:tplc="04090001" w:tentative="1">
      <w:start w:val="1"/>
      <w:numFmt w:val="bullet"/>
      <w:lvlText w:val=""/>
      <w:lvlJc w:val="left"/>
      <w:pPr>
        <w:tabs>
          <w:tab w:val="num" w:pos="4395"/>
        </w:tabs>
        <w:ind w:left="4395" w:hanging="360"/>
      </w:pPr>
      <w:rPr>
        <w:rFonts w:ascii="Symbol" w:hAnsi="Symbol" w:hint="default"/>
      </w:rPr>
    </w:lvl>
    <w:lvl w:ilvl="4" w:tplc="04090003" w:tentative="1">
      <w:start w:val="1"/>
      <w:numFmt w:val="bullet"/>
      <w:lvlText w:val="o"/>
      <w:lvlJc w:val="left"/>
      <w:pPr>
        <w:tabs>
          <w:tab w:val="num" w:pos="5115"/>
        </w:tabs>
        <w:ind w:left="5115" w:hanging="360"/>
      </w:pPr>
      <w:rPr>
        <w:rFonts w:ascii="Courier New" w:hAnsi="Courier New" w:hint="default"/>
      </w:rPr>
    </w:lvl>
    <w:lvl w:ilvl="5" w:tplc="04090005" w:tentative="1">
      <w:start w:val="1"/>
      <w:numFmt w:val="bullet"/>
      <w:lvlText w:val=""/>
      <w:lvlJc w:val="left"/>
      <w:pPr>
        <w:tabs>
          <w:tab w:val="num" w:pos="5835"/>
        </w:tabs>
        <w:ind w:left="5835" w:hanging="360"/>
      </w:pPr>
      <w:rPr>
        <w:rFonts w:ascii="Wingdings" w:hAnsi="Wingdings" w:hint="default"/>
      </w:rPr>
    </w:lvl>
    <w:lvl w:ilvl="6" w:tplc="04090001" w:tentative="1">
      <w:start w:val="1"/>
      <w:numFmt w:val="bullet"/>
      <w:lvlText w:val=""/>
      <w:lvlJc w:val="left"/>
      <w:pPr>
        <w:tabs>
          <w:tab w:val="num" w:pos="6555"/>
        </w:tabs>
        <w:ind w:left="6555" w:hanging="360"/>
      </w:pPr>
      <w:rPr>
        <w:rFonts w:ascii="Symbol" w:hAnsi="Symbol" w:hint="default"/>
      </w:rPr>
    </w:lvl>
    <w:lvl w:ilvl="7" w:tplc="04090003" w:tentative="1">
      <w:start w:val="1"/>
      <w:numFmt w:val="bullet"/>
      <w:lvlText w:val="o"/>
      <w:lvlJc w:val="left"/>
      <w:pPr>
        <w:tabs>
          <w:tab w:val="num" w:pos="7275"/>
        </w:tabs>
        <w:ind w:left="7275" w:hanging="360"/>
      </w:pPr>
      <w:rPr>
        <w:rFonts w:ascii="Courier New" w:hAnsi="Courier New" w:hint="default"/>
      </w:rPr>
    </w:lvl>
    <w:lvl w:ilvl="8" w:tplc="04090005" w:tentative="1">
      <w:start w:val="1"/>
      <w:numFmt w:val="bullet"/>
      <w:lvlText w:val=""/>
      <w:lvlJc w:val="left"/>
      <w:pPr>
        <w:tabs>
          <w:tab w:val="num" w:pos="7995"/>
        </w:tabs>
        <w:ind w:left="7995" w:hanging="360"/>
      </w:pPr>
      <w:rPr>
        <w:rFonts w:ascii="Wingdings" w:hAnsi="Wingdings" w:hint="default"/>
      </w:rPr>
    </w:lvl>
  </w:abstractNum>
  <w:abstractNum w:abstractNumId="9" w15:restartNumberingAfterBreak="0">
    <w:nsid w:val="10E3034A"/>
    <w:multiLevelType w:val="singleLevel"/>
    <w:tmpl w:val="B184A43C"/>
    <w:lvl w:ilvl="0">
      <w:start w:val="1"/>
      <w:numFmt w:val="decimal"/>
      <w:lvlText w:val="%1."/>
      <w:lvlJc w:val="left"/>
      <w:pPr>
        <w:tabs>
          <w:tab w:val="num" w:pos="1800"/>
        </w:tabs>
        <w:ind w:left="1800" w:hanging="360"/>
      </w:pPr>
      <w:rPr>
        <w:rFonts w:hint="default"/>
      </w:rPr>
    </w:lvl>
  </w:abstractNum>
  <w:abstractNum w:abstractNumId="10" w15:restartNumberingAfterBreak="0">
    <w:nsid w:val="163227B7"/>
    <w:multiLevelType w:val="hybridMultilevel"/>
    <w:tmpl w:val="8D38001C"/>
    <w:lvl w:ilvl="0" w:tplc="B1268800">
      <w:numFmt w:val="bullet"/>
      <w:pStyle w:val="ListParagraph"/>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1" w15:restartNumberingAfterBreak="0">
    <w:nsid w:val="21905B9A"/>
    <w:multiLevelType w:val="hybridMultilevel"/>
    <w:tmpl w:val="D3C8399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D222393"/>
    <w:multiLevelType w:val="hybridMultilevel"/>
    <w:tmpl w:val="9EAC99D4"/>
    <w:lvl w:ilvl="0" w:tplc="6F881B74">
      <w:numFmt w:val="bullet"/>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3" w15:restartNumberingAfterBreak="0">
    <w:nsid w:val="2D6B28D0"/>
    <w:multiLevelType w:val="multilevel"/>
    <w:tmpl w:val="DB62CFEC"/>
    <w:lvl w:ilvl="0">
      <w:start w:val="1"/>
      <w:numFmt w:val="decimal"/>
      <w:lvlText w:val="%1"/>
      <w:lvlJc w:val="left"/>
      <w:pPr>
        <w:ind w:left="480" w:hanging="480"/>
      </w:pPr>
      <w:rPr>
        <w:rFonts w:hint="default"/>
      </w:rPr>
    </w:lvl>
    <w:lvl w:ilvl="1">
      <w:start w:val="1"/>
      <w:numFmt w:val="decimal"/>
      <w:lvlText w:val="%1.%2"/>
      <w:lvlJc w:val="left"/>
      <w:pPr>
        <w:ind w:left="943" w:hanging="480"/>
      </w:pPr>
      <w:rPr>
        <w:rFonts w:hint="default"/>
      </w:rPr>
    </w:lvl>
    <w:lvl w:ilvl="2">
      <w:start w:val="1"/>
      <w:numFmt w:val="decimal"/>
      <w:lvlText w:val="%1.%2.%3"/>
      <w:lvlJc w:val="left"/>
      <w:pPr>
        <w:ind w:left="1646"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2109" w:hanging="720"/>
      </w:pPr>
      <w:rPr>
        <w:rFonts w:hint="default"/>
      </w:rPr>
    </w:lvl>
    <w:lvl w:ilvl="4">
      <w:start w:val="1"/>
      <w:numFmt w:val="decimal"/>
      <w:lvlText w:val="%1.%2.%3.%4.%5"/>
      <w:lvlJc w:val="left"/>
      <w:pPr>
        <w:ind w:left="2932" w:hanging="1080"/>
      </w:pPr>
      <w:rPr>
        <w:rFonts w:hint="default"/>
      </w:rPr>
    </w:lvl>
    <w:lvl w:ilvl="5">
      <w:start w:val="1"/>
      <w:numFmt w:val="decimal"/>
      <w:lvlText w:val="%1.%2.%3.%4.%5.%6"/>
      <w:lvlJc w:val="left"/>
      <w:pPr>
        <w:ind w:left="3395" w:hanging="1080"/>
      </w:pPr>
      <w:rPr>
        <w:rFonts w:hint="default"/>
      </w:rPr>
    </w:lvl>
    <w:lvl w:ilvl="6">
      <w:start w:val="1"/>
      <w:numFmt w:val="decimal"/>
      <w:lvlText w:val="%1.%2.%3.%4.%5.%6.%7"/>
      <w:lvlJc w:val="left"/>
      <w:pPr>
        <w:ind w:left="4218" w:hanging="1440"/>
      </w:pPr>
      <w:rPr>
        <w:rFonts w:hint="default"/>
      </w:rPr>
    </w:lvl>
    <w:lvl w:ilvl="7">
      <w:start w:val="1"/>
      <w:numFmt w:val="decimal"/>
      <w:lvlText w:val="%1.%2.%3.%4.%5.%6.%7.%8"/>
      <w:lvlJc w:val="left"/>
      <w:pPr>
        <w:ind w:left="4681" w:hanging="1440"/>
      </w:pPr>
      <w:rPr>
        <w:rFonts w:hint="default"/>
      </w:rPr>
    </w:lvl>
    <w:lvl w:ilvl="8">
      <w:start w:val="1"/>
      <w:numFmt w:val="decimal"/>
      <w:lvlText w:val="%1.%2.%3.%4.%5.%6.%7.%8.%9"/>
      <w:lvlJc w:val="left"/>
      <w:pPr>
        <w:ind w:left="5504" w:hanging="1800"/>
      </w:pPr>
      <w:rPr>
        <w:rFonts w:hint="default"/>
      </w:rPr>
    </w:lvl>
  </w:abstractNum>
  <w:abstractNum w:abstractNumId="14" w15:restartNumberingAfterBreak="0">
    <w:nsid w:val="332C628F"/>
    <w:multiLevelType w:val="hybridMultilevel"/>
    <w:tmpl w:val="A2D2E27A"/>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15" w15:restartNumberingAfterBreak="0">
    <w:nsid w:val="34C93CC2"/>
    <w:multiLevelType w:val="hybridMultilevel"/>
    <w:tmpl w:val="F120EBD8"/>
    <w:lvl w:ilvl="0" w:tplc="FFFFFFFF">
      <w:start w:val="1"/>
      <w:numFmt w:val="decimal"/>
      <w:lvlText w:val="%1."/>
      <w:lvlJc w:val="left"/>
      <w:pPr>
        <w:ind w:left="45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433DEF"/>
    <w:multiLevelType w:val="hybridMultilevel"/>
    <w:tmpl w:val="1B527B8A"/>
    <w:lvl w:ilvl="0" w:tplc="2C4A9412">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7" w15:restartNumberingAfterBreak="0">
    <w:nsid w:val="39AE0116"/>
    <w:multiLevelType w:val="hybridMultilevel"/>
    <w:tmpl w:val="9D4C0EFC"/>
    <w:lvl w:ilvl="0" w:tplc="0402000F">
      <w:start w:val="1"/>
      <w:numFmt w:val="decimal"/>
      <w:lvlText w:val="%1."/>
      <w:lvlJc w:val="left"/>
      <w:pPr>
        <w:ind w:left="1287" w:hanging="360"/>
      </w:pPr>
    </w:lvl>
    <w:lvl w:ilvl="1" w:tplc="04020019" w:tentative="1">
      <w:start w:val="1"/>
      <w:numFmt w:val="lowerLetter"/>
      <w:lvlText w:val="%2."/>
      <w:lvlJc w:val="left"/>
      <w:pPr>
        <w:ind w:left="2007" w:hanging="360"/>
      </w:pPr>
    </w:lvl>
    <w:lvl w:ilvl="2" w:tplc="0402001B" w:tentative="1">
      <w:start w:val="1"/>
      <w:numFmt w:val="lowerRoman"/>
      <w:lvlText w:val="%3."/>
      <w:lvlJc w:val="right"/>
      <w:pPr>
        <w:ind w:left="2727" w:hanging="180"/>
      </w:pPr>
    </w:lvl>
    <w:lvl w:ilvl="3" w:tplc="0402000F" w:tentative="1">
      <w:start w:val="1"/>
      <w:numFmt w:val="decimal"/>
      <w:lvlText w:val="%4."/>
      <w:lvlJc w:val="left"/>
      <w:pPr>
        <w:ind w:left="3447" w:hanging="360"/>
      </w:pPr>
    </w:lvl>
    <w:lvl w:ilvl="4" w:tplc="04020019" w:tentative="1">
      <w:start w:val="1"/>
      <w:numFmt w:val="lowerLetter"/>
      <w:lvlText w:val="%5."/>
      <w:lvlJc w:val="left"/>
      <w:pPr>
        <w:ind w:left="4167" w:hanging="360"/>
      </w:pPr>
    </w:lvl>
    <w:lvl w:ilvl="5" w:tplc="0402001B" w:tentative="1">
      <w:start w:val="1"/>
      <w:numFmt w:val="lowerRoman"/>
      <w:lvlText w:val="%6."/>
      <w:lvlJc w:val="right"/>
      <w:pPr>
        <w:ind w:left="4887" w:hanging="180"/>
      </w:pPr>
    </w:lvl>
    <w:lvl w:ilvl="6" w:tplc="0402000F" w:tentative="1">
      <w:start w:val="1"/>
      <w:numFmt w:val="decimal"/>
      <w:lvlText w:val="%7."/>
      <w:lvlJc w:val="left"/>
      <w:pPr>
        <w:ind w:left="5607" w:hanging="360"/>
      </w:pPr>
    </w:lvl>
    <w:lvl w:ilvl="7" w:tplc="04020019" w:tentative="1">
      <w:start w:val="1"/>
      <w:numFmt w:val="lowerLetter"/>
      <w:lvlText w:val="%8."/>
      <w:lvlJc w:val="left"/>
      <w:pPr>
        <w:ind w:left="6327" w:hanging="360"/>
      </w:pPr>
    </w:lvl>
    <w:lvl w:ilvl="8" w:tplc="0402001B" w:tentative="1">
      <w:start w:val="1"/>
      <w:numFmt w:val="lowerRoman"/>
      <w:lvlText w:val="%9."/>
      <w:lvlJc w:val="right"/>
      <w:pPr>
        <w:ind w:left="7047" w:hanging="180"/>
      </w:pPr>
    </w:lvl>
  </w:abstractNum>
  <w:abstractNum w:abstractNumId="18" w15:restartNumberingAfterBreak="0">
    <w:nsid w:val="464F0AFE"/>
    <w:multiLevelType w:val="hybridMultilevel"/>
    <w:tmpl w:val="C3843A80"/>
    <w:lvl w:ilvl="0" w:tplc="FD763AF8">
      <w:start w:val="43"/>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15:restartNumberingAfterBreak="0">
    <w:nsid w:val="487C7AB4"/>
    <w:multiLevelType w:val="hybridMultilevel"/>
    <w:tmpl w:val="20F83512"/>
    <w:lvl w:ilvl="0" w:tplc="432A3094">
      <w:numFmt w:val="bullet"/>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0" w15:restartNumberingAfterBreak="0">
    <w:nsid w:val="4EE43740"/>
    <w:multiLevelType w:val="hybridMultilevel"/>
    <w:tmpl w:val="C4E8B3F2"/>
    <w:lvl w:ilvl="0" w:tplc="065429F4">
      <w:start w:val="1"/>
      <w:numFmt w:val="decimal"/>
      <w:lvlText w:val="%1."/>
      <w:lvlJc w:val="left"/>
      <w:pPr>
        <w:tabs>
          <w:tab w:val="num" w:pos="2490"/>
        </w:tabs>
        <w:ind w:left="2490" w:hanging="105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1" w15:restartNumberingAfterBreak="0">
    <w:nsid w:val="53D9023A"/>
    <w:multiLevelType w:val="hybridMultilevel"/>
    <w:tmpl w:val="7F8E0B22"/>
    <w:lvl w:ilvl="0" w:tplc="6FE894F8">
      <w:numFmt w:val="bullet"/>
      <w:lvlText w:val="-"/>
      <w:lvlJc w:val="left"/>
      <w:pPr>
        <w:ind w:left="1080" w:hanging="360"/>
      </w:pPr>
      <w:rPr>
        <w:rFonts w:ascii="Times New Roman" w:eastAsia="Times New Roman" w:hAnsi="Times New Roman" w:cs="Times New Roman" w:hint="default"/>
      </w:rPr>
    </w:lvl>
    <w:lvl w:ilvl="1" w:tplc="04020003">
      <w:start w:val="1"/>
      <w:numFmt w:val="bullet"/>
      <w:lvlText w:val="o"/>
      <w:lvlJc w:val="left"/>
      <w:pPr>
        <w:ind w:left="1800" w:hanging="360"/>
      </w:pPr>
      <w:rPr>
        <w:rFonts w:ascii="Courier New" w:hAnsi="Courier New" w:cs="Courier New" w:hint="default"/>
      </w:rPr>
    </w:lvl>
    <w:lvl w:ilvl="2" w:tplc="04020005">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2" w15:restartNumberingAfterBreak="0">
    <w:nsid w:val="561523D1"/>
    <w:multiLevelType w:val="hybridMultilevel"/>
    <w:tmpl w:val="A5E851F0"/>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3" w15:restartNumberingAfterBreak="0">
    <w:nsid w:val="588D6BEA"/>
    <w:multiLevelType w:val="multilevel"/>
    <w:tmpl w:val="97FC309E"/>
    <w:lvl w:ilvl="0">
      <w:start w:val="1"/>
      <w:numFmt w:val="decimal"/>
      <w:isLgl/>
      <w:lvlText w:val="%1."/>
      <w:lvlJc w:val="left"/>
      <w:pPr>
        <w:ind w:left="927" w:hanging="360"/>
      </w:pPr>
      <w:rPr>
        <w:rFonts w:hint="default"/>
        <w:sz w:val="24"/>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4" w15:restartNumberingAfterBreak="0">
    <w:nsid w:val="60F263DF"/>
    <w:multiLevelType w:val="hybridMultilevel"/>
    <w:tmpl w:val="B394DE12"/>
    <w:lvl w:ilvl="0" w:tplc="0136D1BA">
      <w:start w:val="1"/>
      <w:numFmt w:val="upperRoman"/>
      <w:lvlText w:val="%1."/>
      <w:lvlJc w:val="right"/>
      <w:pPr>
        <w:ind w:left="1287" w:hanging="360"/>
      </w:pPr>
    </w:lvl>
    <w:lvl w:ilvl="1" w:tplc="04020019" w:tentative="1">
      <w:start w:val="1"/>
      <w:numFmt w:val="lowerLetter"/>
      <w:lvlText w:val="%2."/>
      <w:lvlJc w:val="left"/>
      <w:pPr>
        <w:ind w:left="2007" w:hanging="360"/>
      </w:pPr>
    </w:lvl>
    <w:lvl w:ilvl="2" w:tplc="0402001B" w:tentative="1">
      <w:start w:val="1"/>
      <w:numFmt w:val="lowerRoman"/>
      <w:lvlText w:val="%3."/>
      <w:lvlJc w:val="right"/>
      <w:pPr>
        <w:ind w:left="2727" w:hanging="180"/>
      </w:pPr>
    </w:lvl>
    <w:lvl w:ilvl="3" w:tplc="0402000F" w:tentative="1">
      <w:start w:val="1"/>
      <w:numFmt w:val="decimal"/>
      <w:lvlText w:val="%4."/>
      <w:lvlJc w:val="left"/>
      <w:pPr>
        <w:ind w:left="3447" w:hanging="360"/>
      </w:pPr>
    </w:lvl>
    <w:lvl w:ilvl="4" w:tplc="04020019" w:tentative="1">
      <w:start w:val="1"/>
      <w:numFmt w:val="lowerLetter"/>
      <w:lvlText w:val="%5."/>
      <w:lvlJc w:val="left"/>
      <w:pPr>
        <w:ind w:left="4167" w:hanging="360"/>
      </w:pPr>
    </w:lvl>
    <w:lvl w:ilvl="5" w:tplc="0402001B" w:tentative="1">
      <w:start w:val="1"/>
      <w:numFmt w:val="lowerRoman"/>
      <w:lvlText w:val="%6."/>
      <w:lvlJc w:val="right"/>
      <w:pPr>
        <w:ind w:left="4887" w:hanging="180"/>
      </w:pPr>
    </w:lvl>
    <w:lvl w:ilvl="6" w:tplc="0402000F" w:tentative="1">
      <w:start w:val="1"/>
      <w:numFmt w:val="decimal"/>
      <w:lvlText w:val="%7."/>
      <w:lvlJc w:val="left"/>
      <w:pPr>
        <w:ind w:left="5607" w:hanging="360"/>
      </w:pPr>
    </w:lvl>
    <w:lvl w:ilvl="7" w:tplc="04020019" w:tentative="1">
      <w:start w:val="1"/>
      <w:numFmt w:val="lowerLetter"/>
      <w:lvlText w:val="%8."/>
      <w:lvlJc w:val="left"/>
      <w:pPr>
        <w:ind w:left="6327" w:hanging="360"/>
      </w:pPr>
    </w:lvl>
    <w:lvl w:ilvl="8" w:tplc="0402001B" w:tentative="1">
      <w:start w:val="1"/>
      <w:numFmt w:val="lowerRoman"/>
      <w:lvlText w:val="%9."/>
      <w:lvlJc w:val="right"/>
      <w:pPr>
        <w:ind w:left="7047" w:hanging="180"/>
      </w:pPr>
    </w:lvl>
  </w:abstractNum>
  <w:abstractNum w:abstractNumId="25" w15:restartNumberingAfterBreak="0">
    <w:nsid w:val="685E3A3B"/>
    <w:multiLevelType w:val="hybridMultilevel"/>
    <w:tmpl w:val="219A5DE6"/>
    <w:lvl w:ilvl="0" w:tplc="4136301C">
      <w:start w:val="1"/>
      <w:numFmt w:val="decimal"/>
      <w:lvlText w:val="%1."/>
      <w:lvlJc w:val="left"/>
      <w:pPr>
        <w:tabs>
          <w:tab w:val="num" w:pos="1800"/>
        </w:tabs>
        <w:ind w:left="1800" w:hanging="360"/>
      </w:pPr>
      <w:rPr>
        <w:rFonts w:hint="default"/>
      </w:rPr>
    </w:lvl>
    <w:lvl w:ilvl="1" w:tplc="04020019" w:tentative="1">
      <w:start w:val="1"/>
      <w:numFmt w:val="lowerLetter"/>
      <w:lvlText w:val="%2."/>
      <w:lvlJc w:val="left"/>
      <w:pPr>
        <w:tabs>
          <w:tab w:val="num" w:pos="2520"/>
        </w:tabs>
        <w:ind w:left="2520" w:hanging="360"/>
      </w:pPr>
    </w:lvl>
    <w:lvl w:ilvl="2" w:tplc="0402001B" w:tentative="1">
      <w:start w:val="1"/>
      <w:numFmt w:val="lowerRoman"/>
      <w:lvlText w:val="%3."/>
      <w:lvlJc w:val="right"/>
      <w:pPr>
        <w:tabs>
          <w:tab w:val="num" w:pos="3240"/>
        </w:tabs>
        <w:ind w:left="3240" w:hanging="180"/>
      </w:pPr>
    </w:lvl>
    <w:lvl w:ilvl="3" w:tplc="0402000F" w:tentative="1">
      <w:start w:val="1"/>
      <w:numFmt w:val="decimal"/>
      <w:lvlText w:val="%4."/>
      <w:lvlJc w:val="left"/>
      <w:pPr>
        <w:tabs>
          <w:tab w:val="num" w:pos="3960"/>
        </w:tabs>
        <w:ind w:left="3960" w:hanging="360"/>
      </w:pPr>
    </w:lvl>
    <w:lvl w:ilvl="4" w:tplc="04020019" w:tentative="1">
      <w:start w:val="1"/>
      <w:numFmt w:val="lowerLetter"/>
      <w:lvlText w:val="%5."/>
      <w:lvlJc w:val="left"/>
      <w:pPr>
        <w:tabs>
          <w:tab w:val="num" w:pos="4680"/>
        </w:tabs>
        <w:ind w:left="4680" w:hanging="360"/>
      </w:pPr>
    </w:lvl>
    <w:lvl w:ilvl="5" w:tplc="0402001B" w:tentative="1">
      <w:start w:val="1"/>
      <w:numFmt w:val="lowerRoman"/>
      <w:lvlText w:val="%6."/>
      <w:lvlJc w:val="right"/>
      <w:pPr>
        <w:tabs>
          <w:tab w:val="num" w:pos="5400"/>
        </w:tabs>
        <w:ind w:left="5400" w:hanging="180"/>
      </w:pPr>
    </w:lvl>
    <w:lvl w:ilvl="6" w:tplc="0402000F" w:tentative="1">
      <w:start w:val="1"/>
      <w:numFmt w:val="decimal"/>
      <w:lvlText w:val="%7."/>
      <w:lvlJc w:val="left"/>
      <w:pPr>
        <w:tabs>
          <w:tab w:val="num" w:pos="6120"/>
        </w:tabs>
        <w:ind w:left="6120" w:hanging="360"/>
      </w:pPr>
    </w:lvl>
    <w:lvl w:ilvl="7" w:tplc="04020019" w:tentative="1">
      <w:start w:val="1"/>
      <w:numFmt w:val="lowerLetter"/>
      <w:lvlText w:val="%8."/>
      <w:lvlJc w:val="left"/>
      <w:pPr>
        <w:tabs>
          <w:tab w:val="num" w:pos="6840"/>
        </w:tabs>
        <w:ind w:left="6840" w:hanging="360"/>
      </w:pPr>
    </w:lvl>
    <w:lvl w:ilvl="8" w:tplc="0402001B" w:tentative="1">
      <w:start w:val="1"/>
      <w:numFmt w:val="lowerRoman"/>
      <w:lvlText w:val="%9."/>
      <w:lvlJc w:val="right"/>
      <w:pPr>
        <w:tabs>
          <w:tab w:val="num" w:pos="7560"/>
        </w:tabs>
        <w:ind w:left="7560" w:hanging="180"/>
      </w:pPr>
    </w:lvl>
  </w:abstractNum>
  <w:abstractNum w:abstractNumId="26" w15:restartNumberingAfterBreak="0">
    <w:nsid w:val="6CFF2F6D"/>
    <w:multiLevelType w:val="hybridMultilevel"/>
    <w:tmpl w:val="936C16C4"/>
    <w:lvl w:ilvl="0" w:tplc="E39A1D18">
      <w:start w:val="1"/>
      <w:numFmt w:val="bullet"/>
      <w:lvlText w:val="-"/>
      <w:lvlJc w:val="left"/>
      <w:pPr>
        <w:ind w:left="927" w:hanging="360"/>
      </w:pPr>
      <w:rPr>
        <w:rFonts w:ascii="Times New Roman" w:eastAsia="Times New Roman" w:hAnsi="Times New Roman" w:cs="Times New Roman" w:hint="default"/>
      </w:rPr>
    </w:lvl>
    <w:lvl w:ilvl="1" w:tplc="04020003">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27" w15:restartNumberingAfterBreak="0">
    <w:nsid w:val="6FA01CF7"/>
    <w:multiLevelType w:val="hybridMultilevel"/>
    <w:tmpl w:val="901882C0"/>
    <w:lvl w:ilvl="0" w:tplc="E0CCA96E">
      <w:start w:val="1"/>
      <w:numFmt w:val="bullet"/>
      <w:lvlText w:val="-"/>
      <w:lvlJc w:val="left"/>
      <w:pPr>
        <w:ind w:left="1080" w:hanging="360"/>
      </w:pPr>
      <w:rPr>
        <w:rFonts w:ascii="Times New Roman" w:eastAsia="Times New Roman" w:hAnsi="Times New Roman" w:cs="Times New Roman" w:hint="default"/>
      </w:rPr>
    </w:lvl>
    <w:lvl w:ilvl="1" w:tplc="04020003">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8" w15:restartNumberingAfterBreak="0">
    <w:nsid w:val="7D882B25"/>
    <w:multiLevelType w:val="hybridMultilevel"/>
    <w:tmpl w:val="AB580418"/>
    <w:lvl w:ilvl="0" w:tplc="04020001">
      <w:start w:val="1"/>
      <w:numFmt w:val="bullet"/>
      <w:lvlText w:val=""/>
      <w:lvlJc w:val="left"/>
      <w:pPr>
        <w:ind w:left="1440" w:hanging="72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9" w15:restartNumberingAfterBreak="0">
    <w:nsid w:val="7ED750CE"/>
    <w:multiLevelType w:val="hybridMultilevel"/>
    <w:tmpl w:val="9BA6BF36"/>
    <w:lvl w:ilvl="0" w:tplc="1E26EACE">
      <w:numFmt w:val="bullet"/>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num w:numId="1">
    <w:abstractNumId w:val="9"/>
  </w:num>
  <w:num w:numId="2">
    <w:abstractNumId w:val="20"/>
  </w:num>
  <w:num w:numId="3">
    <w:abstractNumId w:val="22"/>
  </w:num>
  <w:num w:numId="4">
    <w:abstractNumId w:val="4"/>
  </w:num>
  <w:num w:numId="5">
    <w:abstractNumId w:val="8"/>
  </w:num>
  <w:num w:numId="6">
    <w:abstractNumId w:val="11"/>
  </w:num>
  <w:num w:numId="7">
    <w:abstractNumId w:val="6"/>
  </w:num>
  <w:num w:numId="8">
    <w:abstractNumId w:val="1"/>
  </w:num>
  <w:num w:numId="9">
    <w:abstractNumId w:val="25"/>
  </w:num>
  <w:num w:numId="10">
    <w:abstractNumId w:val="17"/>
  </w:num>
  <w:num w:numId="11">
    <w:abstractNumId w:val="24"/>
  </w:num>
  <w:num w:numId="12">
    <w:abstractNumId w:val="23"/>
  </w:num>
  <w:num w:numId="13">
    <w:abstractNumId w:val="7"/>
  </w:num>
  <w:num w:numId="14">
    <w:abstractNumId w:val="13"/>
  </w:num>
  <w:num w:numId="15">
    <w:abstractNumId w:val="13"/>
  </w:num>
  <w:num w:numId="16">
    <w:abstractNumId w:val="7"/>
  </w:num>
  <w:num w:numId="17">
    <w:abstractNumId w:val="26"/>
  </w:num>
  <w:num w:numId="18">
    <w:abstractNumId w:val="14"/>
  </w:num>
  <w:num w:numId="19">
    <w:abstractNumId w:val="28"/>
  </w:num>
  <w:num w:numId="20">
    <w:abstractNumId w:val="16"/>
  </w:num>
  <w:num w:numId="21">
    <w:abstractNumId w:val="27"/>
  </w:num>
  <w:num w:numId="22">
    <w:abstractNumId w:val="5"/>
  </w:num>
  <w:num w:numId="23">
    <w:abstractNumId w:val="18"/>
  </w:num>
  <w:num w:numId="24">
    <w:abstractNumId w:val="29"/>
  </w:num>
  <w:num w:numId="25">
    <w:abstractNumId w:val="21"/>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num>
  <w:num w:numId="28">
    <w:abstractNumId w:val="12"/>
  </w:num>
  <w:num w:numId="29">
    <w:abstractNumId w:val="10"/>
  </w:num>
  <w:num w:numId="30">
    <w:abstractNumId w:val="10"/>
  </w:num>
  <w:num w:numId="31">
    <w:abstractNumId w:val="10"/>
  </w:num>
  <w:num w:numId="32">
    <w:abstractNumId w:val="2"/>
  </w:num>
  <w:num w:numId="33">
    <w:abstractNumId w:val="0"/>
  </w:num>
  <w:num w:numId="34">
    <w:abstractNumId w:val="3"/>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activeWritingStyle w:appName="MSWord" w:lang="en-US" w:vendorID="64" w:dllVersion="5" w:nlCheck="1" w:checkStyle="1"/>
  <w:activeWritingStyle w:appName="MSWord" w:lang="ru-RU" w:vendorID="64" w:dllVersion="6" w:nlCheck="1" w:checkStyle="0"/>
  <w:activeWritingStyle w:appName="MSWord" w:lang="en-US" w:vendorID="64" w:dllVersion="6"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958"/>
    <w:rsid w:val="00005C42"/>
    <w:rsid w:val="00011F57"/>
    <w:rsid w:val="000614E7"/>
    <w:rsid w:val="000649CE"/>
    <w:rsid w:val="00067642"/>
    <w:rsid w:val="00077149"/>
    <w:rsid w:val="000904CE"/>
    <w:rsid w:val="000974F8"/>
    <w:rsid w:val="00097FC6"/>
    <w:rsid w:val="000A1052"/>
    <w:rsid w:val="000A1DC4"/>
    <w:rsid w:val="000A3896"/>
    <w:rsid w:val="000B0F5B"/>
    <w:rsid w:val="000B1BB6"/>
    <w:rsid w:val="000D080B"/>
    <w:rsid w:val="000D2FE3"/>
    <w:rsid w:val="000D5432"/>
    <w:rsid w:val="000D705A"/>
    <w:rsid w:val="000F22E8"/>
    <w:rsid w:val="000F2B65"/>
    <w:rsid w:val="00102958"/>
    <w:rsid w:val="00102BAB"/>
    <w:rsid w:val="00106319"/>
    <w:rsid w:val="00113462"/>
    <w:rsid w:val="001329A5"/>
    <w:rsid w:val="00132D81"/>
    <w:rsid w:val="001365C0"/>
    <w:rsid w:val="00151289"/>
    <w:rsid w:val="001576C5"/>
    <w:rsid w:val="00163A2E"/>
    <w:rsid w:val="001641B6"/>
    <w:rsid w:val="0017133F"/>
    <w:rsid w:val="00171B8E"/>
    <w:rsid w:val="00182274"/>
    <w:rsid w:val="00182F24"/>
    <w:rsid w:val="00185466"/>
    <w:rsid w:val="00190B39"/>
    <w:rsid w:val="001A4D1B"/>
    <w:rsid w:val="001B259B"/>
    <w:rsid w:val="001B5F7D"/>
    <w:rsid w:val="001C1A01"/>
    <w:rsid w:val="001C675B"/>
    <w:rsid w:val="001D7681"/>
    <w:rsid w:val="001E2AEB"/>
    <w:rsid w:val="00204BA2"/>
    <w:rsid w:val="002073AE"/>
    <w:rsid w:val="002228E5"/>
    <w:rsid w:val="00242CD6"/>
    <w:rsid w:val="00243CF3"/>
    <w:rsid w:val="002462DF"/>
    <w:rsid w:val="00264BD7"/>
    <w:rsid w:val="00286378"/>
    <w:rsid w:val="002864CA"/>
    <w:rsid w:val="00286AA4"/>
    <w:rsid w:val="00291106"/>
    <w:rsid w:val="0029427B"/>
    <w:rsid w:val="002951D5"/>
    <w:rsid w:val="002A1523"/>
    <w:rsid w:val="002A5971"/>
    <w:rsid w:val="002A5974"/>
    <w:rsid w:val="002C6F39"/>
    <w:rsid w:val="002D011F"/>
    <w:rsid w:val="002D131F"/>
    <w:rsid w:val="002D69CB"/>
    <w:rsid w:val="002E3E2C"/>
    <w:rsid w:val="00300F9D"/>
    <w:rsid w:val="00302EE6"/>
    <w:rsid w:val="0032403B"/>
    <w:rsid w:val="00332CCE"/>
    <w:rsid w:val="0033485B"/>
    <w:rsid w:val="00337724"/>
    <w:rsid w:val="00342646"/>
    <w:rsid w:val="00350C9C"/>
    <w:rsid w:val="003621BE"/>
    <w:rsid w:val="00365C3D"/>
    <w:rsid w:val="00394BDA"/>
    <w:rsid w:val="00397E41"/>
    <w:rsid w:val="003B0FCC"/>
    <w:rsid w:val="003B15FB"/>
    <w:rsid w:val="003B5AF9"/>
    <w:rsid w:val="003D2721"/>
    <w:rsid w:val="00402BDE"/>
    <w:rsid w:val="00404F76"/>
    <w:rsid w:val="00410374"/>
    <w:rsid w:val="00412199"/>
    <w:rsid w:val="0042355B"/>
    <w:rsid w:val="004334F4"/>
    <w:rsid w:val="00440BA8"/>
    <w:rsid w:val="00446540"/>
    <w:rsid w:val="00451ECB"/>
    <w:rsid w:val="00460F15"/>
    <w:rsid w:val="004671B1"/>
    <w:rsid w:val="00470B48"/>
    <w:rsid w:val="00486E3B"/>
    <w:rsid w:val="004873AF"/>
    <w:rsid w:val="004A3FFC"/>
    <w:rsid w:val="004B2488"/>
    <w:rsid w:val="004C2B3E"/>
    <w:rsid w:val="004E3EB5"/>
    <w:rsid w:val="00546BF9"/>
    <w:rsid w:val="00554553"/>
    <w:rsid w:val="00556390"/>
    <w:rsid w:val="005A752B"/>
    <w:rsid w:val="005B0F35"/>
    <w:rsid w:val="005D364C"/>
    <w:rsid w:val="005D3717"/>
    <w:rsid w:val="005D44AB"/>
    <w:rsid w:val="006136CB"/>
    <w:rsid w:val="00620D79"/>
    <w:rsid w:val="00622BDB"/>
    <w:rsid w:val="00624C2D"/>
    <w:rsid w:val="00630851"/>
    <w:rsid w:val="00666371"/>
    <w:rsid w:val="0068207B"/>
    <w:rsid w:val="006A0CD3"/>
    <w:rsid w:val="006C2151"/>
    <w:rsid w:val="006C5A08"/>
    <w:rsid w:val="006D0E19"/>
    <w:rsid w:val="006E498A"/>
    <w:rsid w:val="00701941"/>
    <w:rsid w:val="007129C2"/>
    <w:rsid w:val="00714F55"/>
    <w:rsid w:val="00722EA7"/>
    <w:rsid w:val="007303AA"/>
    <w:rsid w:val="00746FB3"/>
    <w:rsid w:val="007539B9"/>
    <w:rsid w:val="00773791"/>
    <w:rsid w:val="00777812"/>
    <w:rsid w:val="0078093E"/>
    <w:rsid w:val="00790361"/>
    <w:rsid w:val="007A366F"/>
    <w:rsid w:val="007C48F3"/>
    <w:rsid w:val="007F2F42"/>
    <w:rsid w:val="007F3191"/>
    <w:rsid w:val="007F373B"/>
    <w:rsid w:val="008007C5"/>
    <w:rsid w:val="008039CB"/>
    <w:rsid w:val="00804505"/>
    <w:rsid w:val="00824D5F"/>
    <w:rsid w:val="00833245"/>
    <w:rsid w:val="00835186"/>
    <w:rsid w:val="0084647A"/>
    <w:rsid w:val="008469C3"/>
    <w:rsid w:val="008513C3"/>
    <w:rsid w:val="00851E3D"/>
    <w:rsid w:val="00860139"/>
    <w:rsid w:val="00863010"/>
    <w:rsid w:val="00876498"/>
    <w:rsid w:val="008854B4"/>
    <w:rsid w:val="00896486"/>
    <w:rsid w:val="008A44A6"/>
    <w:rsid w:val="008C662C"/>
    <w:rsid w:val="008C7D73"/>
    <w:rsid w:val="008D0116"/>
    <w:rsid w:val="008D11CD"/>
    <w:rsid w:val="008D2C66"/>
    <w:rsid w:val="008E0FC2"/>
    <w:rsid w:val="008F5EAF"/>
    <w:rsid w:val="008F5EF4"/>
    <w:rsid w:val="008F6E1C"/>
    <w:rsid w:val="00900C04"/>
    <w:rsid w:val="009268F5"/>
    <w:rsid w:val="00931230"/>
    <w:rsid w:val="0093581A"/>
    <w:rsid w:val="0097305F"/>
    <w:rsid w:val="0097366D"/>
    <w:rsid w:val="009864D7"/>
    <w:rsid w:val="009919EE"/>
    <w:rsid w:val="00993C9E"/>
    <w:rsid w:val="0099570A"/>
    <w:rsid w:val="009A0BB4"/>
    <w:rsid w:val="009A4AB4"/>
    <w:rsid w:val="009C2FBF"/>
    <w:rsid w:val="009C64B5"/>
    <w:rsid w:val="009E4E94"/>
    <w:rsid w:val="009F02A0"/>
    <w:rsid w:val="009F16B9"/>
    <w:rsid w:val="00A12501"/>
    <w:rsid w:val="00A3425D"/>
    <w:rsid w:val="00A444C2"/>
    <w:rsid w:val="00A56190"/>
    <w:rsid w:val="00A63EC1"/>
    <w:rsid w:val="00A67AD9"/>
    <w:rsid w:val="00A75488"/>
    <w:rsid w:val="00AA2F68"/>
    <w:rsid w:val="00AA52A7"/>
    <w:rsid w:val="00AA665E"/>
    <w:rsid w:val="00AA68BC"/>
    <w:rsid w:val="00AC0241"/>
    <w:rsid w:val="00AF2696"/>
    <w:rsid w:val="00AF5345"/>
    <w:rsid w:val="00B02AE2"/>
    <w:rsid w:val="00B04490"/>
    <w:rsid w:val="00B05CA4"/>
    <w:rsid w:val="00B06B7C"/>
    <w:rsid w:val="00B07752"/>
    <w:rsid w:val="00B07BBB"/>
    <w:rsid w:val="00B13E43"/>
    <w:rsid w:val="00B16370"/>
    <w:rsid w:val="00B27181"/>
    <w:rsid w:val="00B309DE"/>
    <w:rsid w:val="00B4071D"/>
    <w:rsid w:val="00B50315"/>
    <w:rsid w:val="00B505C2"/>
    <w:rsid w:val="00B53E8D"/>
    <w:rsid w:val="00B548B5"/>
    <w:rsid w:val="00B60826"/>
    <w:rsid w:val="00B75ABF"/>
    <w:rsid w:val="00B84085"/>
    <w:rsid w:val="00B912A6"/>
    <w:rsid w:val="00BA1893"/>
    <w:rsid w:val="00BB1F06"/>
    <w:rsid w:val="00BB49E1"/>
    <w:rsid w:val="00BD6538"/>
    <w:rsid w:val="00BE7C15"/>
    <w:rsid w:val="00BF1222"/>
    <w:rsid w:val="00C22533"/>
    <w:rsid w:val="00C316ED"/>
    <w:rsid w:val="00C31A1A"/>
    <w:rsid w:val="00C44AAE"/>
    <w:rsid w:val="00C52693"/>
    <w:rsid w:val="00C551CB"/>
    <w:rsid w:val="00C565A1"/>
    <w:rsid w:val="00C70FE1"/>
    <w:rsid w:val="00C71B2D"/>
    <w:rsid w:val="00C837C1"/>
    <w:rsid w:val="00C84260"/>
    <w:rsid w:val="00C85A84"/>
    <w:rsid w:val="00C96B05"/>
    <w:rsid w:val="00CA4795"/>
    <w:rsid w:val="00CA6D5D"/>
    <w:rsid w:val="00CB0C16"/>
    <w:rsid w:val="00CB4108"/>
    <w:rsid w:val="00D033CA"/>
    <w:rsid w:val="00D177A9"/>
    <w:rsid w:val="00D41F8C"/>
    <w:rsid w:val="00D551FB"/>
    <w:rsid w:val="00D70158"/>
    <w:rsid w:val="00D7231D"/>
    <w:rsid w:val="00D80BF7"/>
    <w:rsid w:val="00D93C1C"/>
    <w:rsid w:val="00DB033A"/>
    <w:rsid w:val="00DB0CA9"/>
    <w:rsid w:val="00DC5245"/>
    <w:rsid w:val="00DC72DC"/>
    <w:rsid w:val="00DD2ABA"/>
    <w:rsid w:val="00DD6E64"/>
    <w:rsid w:val="00DE5A9D"/>
    <w:rsid w:val="00DF3C4C"/>
    <w:rsid w:val="00DF4AF4"/>
    <w:rsid w:val="00DF6FA6"/>
    <w:rsid w:val="00E12D49"/>
    <w:rsid w:val="00E2375A"/>
    <w:rsid w:val="00E313ED"/>
    <w:rsid w:val="00E364BE"/>
    <w:rsid w:val="00E4262E"/>
    <w:rsid w:val="00E447CB"/>
    <w:rsid w:val="00E51B0E"/>
    <w:rsid w:val="00E630EA"/>
    <w:rsid w:val="00E75BAD"/>
    <w:rsid w:val="00E83D0C"/>
    <w:rsid w:val="00E92EA8"/>
    <w:rsid w:val="00EB4428"/>
    <w:rsid w:val="00EC087F"/>
    <w:rsid w:val="00EC4740"/>
    <w:rsid w:val="00EC6D09"/>
    <w:rsid w:val="00EE0F01"/>
    <w:rsid w:val="00EE139E"/>
    <w:rsid w:val="00EE3271"/>
    <w:rsid w:val="00EE467F"/>
    <w:rsid w:val="00EF6B04"/>
    <w:rsid w:val="00F07AF5"/>
    <w:rsid w:val="00F13D80"/>
    <w:rsid w:val="00F23C11"/>
    <w:rsid w:val="00F33690"/>
    <w:rsid w:val="00F568CA"/>
    <w:rsid w:val="00F56999"/>
    <w:rsid w:val="00F5728F"/>
    <w:rsid w:val="00F71002"/>
    <w:rsid w:val="00F76B7D"/>
    <w:rsid w:val="00F77CA3"/>
    <w:rsid w:val="00F86794"/>
    <w:rsid w:val="00F87C03"/>
    <w:rsid w:val="00F96CA3"/>
    <w:rsid w:val="00FB3348"/>
    <w:rsid w:val="00FB3DBA"/>
    <w:rsid w:val="00FC1D49"/>
    <w:rsid w:val="00FC23B8"/>
    <w:rsid w:val="00FC2629"/>
    <w:rsid w:val="00FC4BD9"/>
    <w:rsid w:val="00FE2F8E"/>
    <w:rsid w:val="00FF004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70B62F"/>
  <w15:chartTrackingRefBased/>
  <w15:docId w15:val="{5E886C92-28FD-467C-9E1E-B4653A675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01. Normal"/>
    <w:qFormat/>
    <w:rsid w:val="000A3896"/>
    <w:pPr>
      <w:spacing w:after="120" w:line="360" w:lineRule="auto"/>
      <w:ind w:firstLine="720"/>
      <w:jc w:val="both"/>
    </w:pPr>
    <w:rPr>
      <w:sz w:val="24"/>
      <w:szCs w:val="24"/>
    </w:rPr>
  </w:style>
  <w:style w:type="paragraph" w:styleId="Heading1">
    <w:name w:val="heading 1"/>
    <w:basedOn w:val="Normal"/>
    <w:next w:val="Normal"/>
    <w:qFormat/>
    <w:rsid w:val="00A444C2"/>
    <w:pPr>
      <w:numPr>
        <w:numId w:val="13"/>
      </w:numPr>
      <w:tabs>
        <w:tab w:val="left" w:pos="993"/>
        <w:tab w:val="left" w:pos="1276"/>
      </w:tabs>
      <w:spacing w:before="120" w:line="240" w:lineRule="auto"/>
      <w:ind w:left="993" w:hanging="426"/>
      <w:outlineLvl w:val="0"/>
    </w:pPr>
    <w:rPr>
      <w:b/>
      <w:sz w:val="28"/>
      <w:szCs w:val="28"/>
    </w:rPr>
  </w:style>
  <w:style w:type="paragraph" w:styleId="Heading2">
    <w:name w:val="heading 2"/>
    <w:basedOn w:val="Normal"/>
    <w:next w:val="Normal"/>
    <w:qFormat/>
    <w:rsid w:val="00A444C2"/>
    <w:pPr>
      <w:numPr>
        <w:ilvl w:val="1"/>
        <w:numId w:val="13"/>
      </w:numPr>
      <w:ind w:left="1418"/>
      <w:outlineLvl w:val="1"/>
    </w:pPr>
    <w:rPr>
      <w:b/>
    </w:rPr>
  </w:style>
  <w:style w:type="paragraph" w:styleId="Heading3">
    <w:name w:val="heading 3"/>
    <w:basedOn w:val="Normal"/>
    <w:next w:val="Normal"/>
    <w:qFormat/>
    <w:rsid w:val="00A444C2"/>
    <w:pPr>
      <w:numPr>
        <w:ilvl w:val="2"/>
        <w:numId w:val="13"/>
      </w:numPr>
      <w:ind w:left="1560" w:hanging="567"/>
      <w:outlineLvl w:val="2"/>
    </w:pPr>
    <w:rPr>
      <w:b/>
    </w:rPr>
  </w:style>
  <w:style w:type="paragraph" w:styleId="Heading4">
    <w:name w:val="heading 4"/>
    <w:basedOn w:val="Normal"/>
    <w:next w:val="Normal"/>
    <w:qFormat/>
    <w:pPr>
      <w:keepNext/>
      <w:jc w:val="center"/>
      <w:outlineLvl w:val="3"/>
    </w:pPr>
    <w:rPr>
      <w:b/>
      <w:sz w:val="36"/>
    </w:rPr>
  </w:style>
  <w:style w:type="paragraph" w:styleId="Heading5">
    <w:name w:val="heading 5"/>
    <w:basedOn w:val="Normal"/>
    <w:next w:val="Normal"/>
    <w:qFormat/>
    <w:pPr>
      <w:keepNext/>
      <w:ind w:firstLine="3969"/>
      <w:outlineLvl w:val="4"/>
    </w:pPr>
    <w:rPr>
      <w:b/>
      <w:sz w:val="20"/>
    </w:rPr>
  </w:style>
  <w:style w:type="paragraph" w:styleId="Heading6">
    <w:name w:val="heading 6"/>
    <w:basedOn w:val="Normal"/>
    <w:next w:val="Normal"/>
    <w:qFormat/>
    <w:pPr>
      <w:keepNext/>
      <w:ind w:left="720"/>
      <w:outlineLvl w:val="5"/>
    </w:pPr>
  </w:style>
  <w:style w:type="paragraph" w:styleId="Heading7">
    <w:name w:val="heading 7"/>
    <w:basedOn w:val="Normal"/>
    <w:next w:val="Normal"/>
    <w:qFormat/>
    <w:pPr>
      <w:keepNext/>
      <w:pBdr>
        <w:bottom w:val="single" w:sz="6" w:space="1" w:color="auto"/>
      </w:pBdr>
      <w:jc w:val="center"/>
      <w:outlineLvl w:val="6"/>
    </w:pPr>
    <w:rPr>
      <w:b/>
      <w:bCs/>
      <w:spacing w:val="180"/>
    </w:rPr>
  </w:style>
  <w:style w:type="paragraph" w:styleId="Heading8">
    <w:name w:val="heading 8"/>
    <w:basedOn w:val="Normal"/>
    <w:next w:val="Normal"/>
    <w:qFormat/>
    <w:pPr>
      <w:keepNext/>
      <w:ind w:right="6804"/>
      <w:jc w:val="center"/>
      <w:outlineLvl w:val="7"/>
    </w:pPr>
    <w:rPr>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b/>
      <w:sz w:val="28"/>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Indent">
    <w:name w:val="Body Text Indent"/>
    <w:basedOn w:val="Normal"/>
    <w:pPr>
      <w:ind w:left="720"/>
    </w:pPr>
  </w:style>
  <w:style w:type="paragraph" w:styleId="BodyTextIndent2">
    <w:name w:val="Body Text Indent 2"/>
    <w:basedOn w:val="Normal"/>
    <w:pPr>
      <w:ind w:left="720"/>
    </w:pPr>
    <w:rPr>
      <w:sz w:val="28"/>
    </w:rPr>
  </w:style>
  <w:style w:type="paragraph" w:customStyle="1" w:styleId="1">
    <w:name w:val="Изнесен текст1"/>
    <w:basedOn w:val="Normal"/>
    <w:semiHidden/>
    <w:rPr>
      <w:rFonts w:ascii="Tahoma" w:hAnsi="Tahoma" w:cs="Tahoma"/>
      <w:sz w:val="16"/>
      <w:szCs w:val="16"/>
    </w:rPr>
  </w:style>
  <w:style w:type="paragraph" w:styleId="Caption">
    <w:name w:val="caption"/>
    <w:basedOn w:val="Normal"/>
    <w:next w:val="Normal"/>
    <w:qFormat/>
    <w:pPr>
      <w:jc w:val="center"/>
    </w:pPr>
    <w:rPr>
      <w:b/>
      <w:caps/>
      <w:spacing w:val="20"/>
    </w:rPr>
  </w:style>
  <w:style w:type="paragraph" w:styleId="ListParagraph">
    <w:name w:val="List Paragraph"/>
    <w:aliases w:val="03. Булети"/>
    <w:basedOn w:val="Normal"/>
    <w:uiPriority w:val="34"/>
    <w:qFormat/>
    <w:rsid w:val="00DB033A"/>
    <w:pPr>
      <w:numPr>
        <w:numId w:val="29"/>
      </w:numPr>
      <w:spacing w:after="0" w:line="276" w:lineRule="auto"/>
      <w:ind w:left="1077" w:hanging="357"/>
    </w:pPr>
  </w:style>
  <w:style w:type="character" w:styleId="CommentReference">
    <w:name w:val="annotation reference"/>
    <w:basedOn w:val="DefaultParagraphFont"/>
    <w:uiPriority w:val="99"/>
    <w:semiHidden/>
    <w:unhideWhenUsed/>
    <w:rsid w:val="00833245"/>
    <w:rPr>
      <w:rFonts w:cs="Times New Roman"/>
      <w:sz w:val="16"/>
      <w:szCs w:val="16"/>
    </w:rPr>
  </w:style>
  <w:style w:type="paragraph" w:styleId="CommentText">
    <w:name w:val="annotation text"/>
    <w:basedOn w:val="Normal"/>
    <w:link w:val="CommentTextChar"/>
    <w:uiPriority w:val="99"/>
    <w:unhideWhenUsed/>
    <w:rsid w:val="00833245"/>
    <w:pPr>
      <w:widowControl w:val="0"/>
      <w:autoSpaceDE w:val="0"/>
      <w:autoSpaceDN w:val="0"/>
      <w:adjustRightInd w:val="0"/>
      <w:spacing w:after="0" w:line="240" w:lineRule="auto"/>
      <w:ind w:firstLine="0"/>
      <w:jc w:val="left"/>
    </w:pPr>
    <w:rPr>
      <w:rFonts w:eastAsiaTheme="minorEastAsia"/>
      <w:sz w:val="20"/>
      <w:szCs w:val="20"/>
    </w:rPr>
  </w:style>
  <w:style w:type="character" w:customStyle="1" w:styleId="CommentTextChar">
    <w:name w:val="Comment Text Char"/>
    <w:basedOn w:val="DefaultParagraphFont"/>
    <w:link w:val="CommentText"/>
    <w:uiPriority w:val="99"/>
    <w:rsid w:val="00833245"/>
    <w:rPr>
      <w:rFonts w:eastAsiaTheme="minorEastAsia"/>
    </w:rPr>
  </w:style>
  <w:style w:type="paragraph" w:styleId="BalloonText">
    <w:name w:val="Balloon Text"/>
    <w:basedOn w:val="Normal"/>
    <w:link w:val="BalloonTextChar"/>
    <w:uiPriority w:val="99"/>
    <w:semiHidden/>
    <w:unhideWhenUsed/>
    <w:rsid w:val="008332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3245"/>
    <w:rPr>
      <w:rFonts w:ascii="Segoe UI" w:hAnsi="Segoe UI" w:cs="Segoe UI"/>
      <w:sz w:val="18"/>
      <w:szCs w:val="18"/>
      <w:lang w:eastAsia="en-US"/>
    </w:rPr>
  </w:style>
  <w:style w:type="table" w:styleId="TableGrid">
    <w:name w:val="Table Grid"/>
    <w:basedOn w:val="TableNormal"/>
    <w:uiPriority w:val="39"/>
    <w:rsid w:val="008D11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2BDE"/>
    <w:rPr>
      <w:color w:val="0563C1" w:themeColor="hyperlink"/>
      <w:u w:val="single"/>
    </w:rPr>
  </w:style>
  <w:style w:type="paragraph" w:customStyle="1" w:styleId="CharChar">
    <w:name w:val="Char Char"/>
    <w:basedOn w:val="Normal"/>
    <w:semiHidden/>
    <w:rsid w:val="002A5971"/>
    <w:pPr>
      <w:tabs>
        <w:tab w:val="left" w:pos="709"/>
      </w:tabs>
      <w:spacing w:after="0" w:line="240" w:lineRule="auto"/>
      <w:ind w:firstLine="0"/>
      <w:jc w:val="left"/>
    </w:pPr>
    <w:rPr>
      <w:rFonts w:ascii="Futura Bk" w:hAnsi="Futura Bk"/>
      <w:lang w:val="pl-PL" w:eastAsia="pl-PL"/>
    </w:rPr>
  </w:style>
  <w:style w:type="paragraph" w:customStyle="1" w:styleId="06">
    <w:name w:val="06. Текст във футър"/>
    <w:basedOn w:val="Normal"/>
    <w:link w:val="06Char"/>
    <w:qFormat/>
    <w:rsid w:val="006E498A"/>
    <w:pPr>
      <w:pBdr>
        <w:top w:val="single" w:sz="6" w:space="1" w:color="auto"/>
      </w:pBdr>
      <w:tabs>
        <w:tab w:val="center" w:pos="4153"/>
        <w:tab w:val="right" w:pos="8306"/>
      </w:tabs>
      <w:spacing w:before="120" w:line="276" w:lineRule="auto"/>
      <w:ind w:firstLine="0"/>
      <w:jc w:val="center"/>
    </w:pPr>
    <w:rPr>
      <w:i/>
      <w:sz w:val="20"/>
      <w:szCs w:val="20"/>
    </w:rPr>
  </w:style>
  <w:style w:type="paragraph" w:customStyle="1" w:styleId="07">
    <w:name w:val="07. Пейджър"/>
    <w:basedOn w:val="Normal"/>
    <w:link w:val="07Char"/>
    <w:qFormat/>
    <w:rsid w:val="00C316ED"/>
    <w:pPr>
      <w:tabs>
        <w:tab w:val="right" w:pos="9072"/>
      </w:tabs>
      <w:spacing w:after="0" w:line="240" w:lineRule="auto"/>
      <w:ind w:firstLine="0"/>
      <w:jc w:val="right"/>
    </w:pPr>
    <w:rPr>
      <w:b/>
      <w:i/>
      <w:sz w:val="16"/>
      <w:szCs w:val="16"/>
    </w:rPr>
  </w:style>
  <w:style w:type="character" w:customStyle="1" w:styleId="06Char">
    <w:name w:val="06. Текст във футър Char"/>
    <w:basedOn w:val="DefaultParagraphFont"/>
    <w:link w:val="06"/>
    <w:rsid w:val="006E498A"/>
    <w:rPr>
      <w:i/>
    </w:rPr>
  </w:style>
  <w:style w:type="paragraph" w:customStyle="1" w:styleId="a">
    <w:name w:val="Име/длъжност за подпис"/>
    <w:basedOn w:val="Normal"/>
    <w:link w:val="Char"/>
    <w:rsid w:val="00863010"/>
    <w:pPr>
      <w:spacing w:line="276" w:lineRule="auto"/>
    </w:pPr>
    <w:rPr>
      <w:b/>
    </w:rPr>
  </w:style>
  <w:style w:type="character" w:customStyle="1" w:styleId="07Char">
    <w:name w:val="07. Пейджър Char"/>
    <w:basedOn w:val="DefaultParagraphFont"/>
    <w:link w:val="07"/>
    <w:rsid w:val="00C316ED"/>
    <w:rPr>
      <w:b/>
      <w:i/>
      <w:sz w:val="16"/>
      <w:szCs w:val="16"/>
    </w:rPr>
  </w:style>
  <w:style w:type="paragraph" w:customStyle="1" w:styleId="04">
    <w:name w:val="04. Име за подпис"/>
    <w:basedOn w:val="a"/>
    <w:link w:val="04Char"/>
    <w:qFormat/>
    <w:rsid w:val="00863010"/>
  </w:style>
  <w:style w:type="character" w:customStyle="1" w:styleId="Char">
    <w:name w:val="Име/длъжност за подпис Char"/>
    <w:basedOn w:val="DefaultParagraphFont"/>
    <w:link w:val="a"/>
    <w:rsid w:val="00863010"/>
    <w:rPr>
      <w:b/>
      <w:sz w:val="24"/>
      <w:szCs w:val="24"/>
    </w:rPr>
  </w:style>
  <w:style w:type="paragraph" w:customStyle="1" w:styleId="02">
    <w:name w:val="02. Относно"/>
    <w:basedOn w:val="Normal"/>
    <w:link w:val="02Char"/>
    <w:qFormat/>
    <w:rsid w:val="002A1523"/>
    <w:pPr>
      <w:spacing w:line="276" w:lineRule="auto"/>
      <w:ind w:left="1418" w:hanging="1418"/>
    </w:pPr>
  </w:style>
  <w:style w:type="character" w:customStyle="1" w:styleId="04Char">
    <w:name w:val="04. Име за подпис Char"/>
    <w:basedOn w:val="Char"/>
    <w:link w:val="04"/>
    <w:rsid w:val="00863010"/>
    <w:rPr>
      <w:b/>
      <w:sz w:val="24"/>
      <w:szCs w:val="24"/>
    </w:rPr>
  </w:style>
  <w:style w:type="character" w:customStyle="1" w:styleId="02Char">
    <w:name w:val="02. Относно Char"/>
    <w:basedOn w:val="DefaultParagraphFont"/>
    <w:link w:val="02"/>
    <w:rsid w:val="002A1523"/>
    <w:rPr>
      <w:sz w:val="24"/>
      <w:szCs w:val="24"/>
    </w:rPr>
  </w:style>
  <w:style w:type="paragraph" w:styleId="FootnoteText">
    <w:name w:val="footnote text"/>
    <w:basedOn w:val="Normal"/>
    <w:link w:val="FootnoteTextChar"/>
    <w:uiPriority w:val="99"/>
    <w:semiHidden/>
    <w:unhideWhenUsed/>
    <w:rsid w:val="006C2151"/>
    <w:pPr>
      <w:spacing w:after="0" w:line="240" w:lineRule="auto"/>
    </w:pPr>
    <w:rPr>
      <w:sz w:val="20"/>
      <w:szCs w:val="20"/>
      <w:lang w:eastAsia="en-US"/>
    </w:rPr>
  </w:style>
  <w:style w:type="character" w:customStyle="1" w:styleId="FootnoteTextChar">
    <w:name w:val="Footnote Text Char"/>
    <w:basedOn w:val="DefaultParagraphFont"/>
    <w:link w:val="FootnoteText"/>
    <w:uiPriority w:val="99"/>
    <w:semiHidden/>
    <w:rsid w:val="006C2151"/>
    <w:rPr>
      <w:lang w:eastAsia="en-US"/>
    </w:rPr>
  </w:style>
  <w:style w:type="character" w:styleId="FootnoteReference">
    <w:name w:val="footnote reference"/>
    <w:basedOn w:val="DefaultParagraphFont"/>
    <w:uiPriority w:val="99"/>
    <w:unhideWhenUsed/>
    <w:rsid w:val="006C2151"/>
    <w:rPr>
      <w:vertAlign w:val="superscript"/>
    </w:rPr>
  </w:style>
  <w:style w:type="paragraph" w:customStyle="1" w:styleId="05">
    <w:name w:val="05. Приложения"/>
    <w:basedOn w:val="Normal"/>
    <w:link w:val="05Char"/>
    <w:qFormat/>
    <w:rsid w:val="00E92EA8"/>
    <w:pPr>
      <w:spacing w:line="276" w:lineRule="auto"/>
      <w:ind w:left="720" w:firstLine="0"/>
    </w:pPr>
    <w:rPr>
      <w:lang w:eastAsia="en-US"/>
    </w:rPr>
  </w:style>
  <w:style w:type="character" w:customStyle="1" w:styleId="05Char">
    <w:name w:val="05. Приложения Char"/>
    <w:basedOn w:val="DefaultParagraphFont"/>
    <w:link w:val="05"/>
    <w:rsid w:val="00E92EA8"/>
    <w:rPr>
      <w:sz w:val="24"/>
      <w:szCs w:val="24"/>
      <w:lang w:eastAsia="en-US"/>
    </w:rPr>
  </w:style>
  <w:style w:type="paragraph" w:customStyle="1" w:styleId="03">
    <w:name w:val="03. Приложения"/>
    <w:basedOn w:val="Normal"/>
    <w:link w:val="03Char"/>
    <w:qFormat/>
    <w:rsid w:val="00AF2696"/>
    <w:pPr>
      <w:spacing w:before="120" w:line="276" w:lineRule="auto"/>
      <w:ind w:left="2410" w:hanging="1701"/>
    </w:pPr>
    <w:rPr>
      <w:lang w:eastAsia="en-US"/>
    </w:rPr>
  </w:style>
  <w:style w:type="character" w:customStyle="1" w:styleId="03Char">
    <w:name w:val="03. Приложения Char"/>
    <w:basedOn w:val="DefaultParagraphFont"/>
    <w:link w:val="03"/>
    <w:rsid w:val="00AF2696"/>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463950">
      <w:bodyDiv w:val="1"/>
      <w:marLeft w:val="0"/>
      <w:marRight w:val="0"/>
      <w:marTop w:val="0"/>
      <w:marBottom w:val="0"/>
      <w:divBdr>
        <w:top w:val="none" w:sz="0" w:space="0" w:color="auto"/>
        <w:left w:val="none" w:sz="0" w:space="0" w:color="auto"/>
        <w:bottom w:val="none" w:sz="0" w:space="0" w:color="auto"/>
        <w:right w:val="none" w:sz="0" w:space="0" w:color="auto"/>
      </w:divBdr>
    </w:div>
    <w:div w:id="486094844">
      <w:bodyDiv w:val="1"/>
      <w:marLeft w:val="0"/>
      <w:marRight w:val="0"/>
      <w:marTop w:val="0"/>
      <w:marBottom w:val="0"/>
      <w:divBdr>
        <w:top w:val="none" w:sz="0" w:space="0" w:color="auto"/>
        <w:left w:val="none" w:sz="0" w:space="0" w:color="auto"/>
        <w:bottom w:val="none" w:sz="0" w:space="0" w:color="auto"/>
        <w:right w:val="none" w:sz="0" w:space="0" w:color="auto"/>
      </w:divBdr>
    </w:div>
    <w:div w:id="562910756">
      <w:bodyDiv w:val="1"/>
      <w:marLeft w:val="0"/>
      <w:marRight w:val="0"/>
      <w:marTop w:val="0"/>
      <w:marBottom w:val="0"/>
      <w:divBdr>
        <w:top w:val="none" w:sz="0" w:space="0" w:color="auto"/>
        <w:left w:val="none" w:sz="0" w:space="0" w:color="auto"/>
        <w:bottom w:val="none" w:sz="0" w:space="0" w:color="auto"/>
        <w:right w:val="none" w:sz="0" w:space="0" w:color="auto"/>
      </w:divBdr>
    </w:div>
    <w:div w:id="644238230">
      <w:bodyDiv w:val="1"/>
      <w:marLeft w:val="0"/>
      <w:marRight w:val="0"/>
      <w:marTop w:val="0"/>
      <w:marBottom w:val="0"/>
      <w:divBdr>
        <w:top w:val="none" w:sz="0" w:space="0" w:color="auto"/>
        <w:left w:val="none" w:sz="0" w:space="0" w:color="auto"/>
        <w:bottom w:val="none" w:sz="0" w:space="0" w:color="auto"/>
        <w:right w:val="none" w:sz="0" w:space="0" w:color="auto"/>
      </w:divBdr>
    </w:div>
    <w:div w:id="951205481">
      <w:bodyDiv w:val="1"/>
      <w:marLeft w:val="0"/>
      <w:marRight w:val="0"/>
      <w:marTop w:val="0"/>
      <w:marBottom w:val="0"/>
      <w:divBdr>
        <w:top w:val="none" w:sz="0" w:space="0" w:color="auto"/>
        <w:left w:val="none" w:sz="0" w:space="0" w:color="auto"/>
        <w:bottom w:val="none" w:sz="0" w:space="0" w:color="auto"/>
        <w:right w:val="none" w:sz="0" w:space="0" w:color="auto"/>
      </w:divBdr>
    </w:div>
    <w:div w:id="1345287249">
      <w:bodyDiv w:val="1"/>
      <w:marLeft w:val="0"/>
      <w:marRight w:val="0"/>
      <w:marTop w:val="0"/>
      <w:marBottom w:val="0"/>
      <w:divBdr>
        <w:top w:val="none" w:sz="0" w:space="0" w:color="auto"/>
        <w:left w:val="none" w:sz="0" w:space="0" w:color="auto"/>
        <w:bottom w:val="none" w:sz="0" w:space="0" w:color="auto"/>
        <w:right w:val="none" w:sz="0" w:space="0" w:color="auto"/>
      </w:divBdr>
    </w:div>
    <w:div w:id="1808665997">
      <w:bodyDiv w:val="1"/>
      <w:marLeft w:val="0"/>
      <w:marRight w:val="0"/>
      <w:marTop w:val="0"/>
      <w:marBottom w:val="0"/>
      <w:divBdr>
        <w:top w:val="none" w:sz="0" w:space="0" w:color="auto"/>
        <w:left w:val="none" w:sz="0" w:space="0" w:color="auto"/>
        <w:bottom w:val="none" w:sz="0" w:space="0" w:color="auto"/>
        <w:right w:val="none" w:sz="0" w:space="0" w:color="auto"/>
      </w:divBdr>
    </w:div>
    <w:div w:id="2133791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no_gishe@moew.government.b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D8EEEB-4E8B-4C31-8932-945C6F75F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11</Pages>
  <Words>2413</Words>
  <Characters>13760</Characters>
  <Application>Microsoft Office Word</Application>
  <DocSecurity>0</DocSecurity>
  <Lines>114</Lines>
  <Paragraphs>32</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Р Е П У Б Л И К А   Б Ъ Л Г А Р И Я</vt:lpstr>
      <vt:lpstr>Р Е П У Б Л И К А   Б Ъ Л Г А Р И Я</vt:lpstr>
    </vt:vector>
  </TitlesOfParts>
  <Company>Counsil of Ministers</Company>
  <LinksUpToDate>false</LinksUpToDate>
  <CharactersWithSpaces>16141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 Е П У Б Л И К А   Б Ъ Л Г А Р И Я</dc:title>
  <dc:subject/>
  <dc:creator>WS</dc:creator>
  <cp:keywords/>
  <dc:description/>
  <cp:lastModifiedBy>Stanimira Misheva</cp:lastModifiedBy>
  <cp:revision>13</cp:revision>
  <cp:lastPrinted>2024-08-26T07:52:00Z</cp:lastPrinted>
  <dcterms:created xsi:type="dcterms:W3CDTF">2026-05-11T10:08:00Z</dcterms:created>
  <dcterms:modified xsi:type="dcterms:W3CDTF">2026-05-28T07:47:00Z</dcterms:modified>
</cp:coreProperties>
</file>